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367" w:lineRule="exact"/>
        <w:rPr>
          <w:sz w:val="24"/>
          <w:szCs w:val="24"/>
          <w:color w:val="auto"/>
        </w:rPr>
      </w:pPr>
    </w:p>
    <w:p>
      <w:pPr>
        <w:ind w:left="2300"/>
        <w:spacing w:after="0"/>
        <w:rPr>
          <w:sz w:val="20"/>
          <w:szCs w:val="20"/>
          <w:color w:val="auto"/>
        </w:rPr>
      </w:pPr>
      <w:r>
        <w:rPr>
          <w:rFonts w:ascii="Arial" w:cs="Arial" w:eastAsia="Arial" w:hAnsi="Arial"/>
          <w:sz w:val="12"/>
          <w:szCs w:val="12"/>
          <w:b w:val="1"/>
          <w:bCs w:val="1"/>
          <w:color w:val="auto"/>
        </w:rPr>
        <w:t>As filed with the Securities and Exchange Commission on June 14, 2021.</w:t>
      </w:r>
    </w:p>
    <w:p>
      <w:pPr>
        <w:spacing w:after="0" w:line="23" w:lineRule="exact"/>
        <w:rPr>
          <w:sz w:val="24"/>
          <w:szCs w:val="24"/>
          <w:color w:val="auto"/>
        </w:rPr>
      </w:pPr>
    </w:p>
    <w:p>
      <w:pPr>
        <w:jc w:val="right"/>
        <w:ind w:right="659"/>
        <w:spacing w:after="0"/>
        <w:rPr>
          <w:sz w:val="20"/>
          <w:szCs w:val="20"/>
          <w:color w:val="auto"/>
        </w:rPr>
      </w:pPr>
      <w:r>
        <w:rPr>
          <w:rFonts w:ascii="Arial" w:cs="Arial" w:eastAsia="Arial" w:hAnsi="Arial"/>
          <w:sz w:val="12"/>
          <w:szCs w:val="12"/>
          <w:b w:val="1"/>
          <w:bCs w:val="1"/>
          <w:color w:val="auto"/>
        </w:rPr>
        <w:t>Registration No. 333-256648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31750</wp:posOffset>
            </wp:positionV>
            <wp:extent cx="490283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2835" cy="2032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66040</wp:posOffset>
            </wp:positionV>
            <wp:extent cx="49028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2835" cy="6985"/>
                    </a:xfrm>
                    <a:prstGeom prst="rect">
                      <a:avLst/>
                    </a:prstGeom>
                    <a:noFill/>
                  </pic:spPr>
                </pic:pic>
              </a:graphicData>
            </a:graphic>
          </wp:anchor>
        </w:drawing>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UNITED STATES</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7"/>
          <w:szCs w:val="17"/>
          <w:b w:val="1"/>
          <w:bCs w:val="1"/>
          <w:color w:val="auto"/>
        </w:rPr>
        <w:t>Amendment No. 1 to</w:t>
      </w:r>
    </w:p>
    <w:p>
      <w:pPr>
        <w:spacing w:after="0" w:line="7" w:lineRule="exact"/>
        <w:rPr>
          <w:sz w:val="24"/>
          <w:szCs w:val="24"/>
          <w:color w:val="auto"/>
        </w:rPr>
      </w:pPr>
    </w:p>
    <w:p>
      <w:pPr>
        <w:ind w:left="4080"/>
        <w:spacing w:after="0"/>
        <w:rPr>
          <w:sz w:val="20"/>
          <w:szCs w:val="20"/>
          <w:color w:val="auto"/>
        </w:rPr>
      </w:pPr>
      <w:r>
        <w:rPr>
          <w:rFonts w:ascii="Arial" w:cs="Arial" w:eastAsia="Arial" w:hAnsi="Arial"/>
          <w:sz w:val="17"/>
          <w:szCs w:val="17"/>
          <w:b w:val="1"/>
          <w:bCs w:val="1"/>
          <w:color w:val="auto"/>
        </w:rPr>
        <w:t>FORM S-1</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REGISTRATION STATEMENT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UNDER</w:t>
      </w:r>
    </w:p>
    <w:p>
      <w:pPr>
        <w:jc w:val="center"/>
        <w:ind w:right="19"/>
        <w:spacing w:after="0" w:line="230" w:lineRule="auto"/>
        <w:rPr>
          <w:sz w:val="20"/>
          <w:szCs w:val="20"/>
          <w:color w:val="auto"/>
        </w:rPr>
      </w:pPr>
      <w:r>
        <w:rPr>
          <w:rFonts w:ascii="Arial" w:cs="Arial" w:eastAsia="Arial" w:hAnsi="Arial"/>
          <w:sz w:val="11"/>
          <w:szCs w:val="11"/>
          <w:b w:val="1"/>
          <w:bCs w:val="1"/>
          <w:color w:val="auto"/>
        </w:rPr>
        <w:t>THE SECURITIES ACT OF 1933</w:t>
      </w:r>
    </w:p>
    <w:p>
      <w:pPr>
        <w:jc w:val="center"/>
        <w:ind w:right="79"/>
        <w:spacing w:after="0" w:line="211" w:lineRule="auto"/>
        <w:rPr>
          <w:sz w:val="20"/>
          <w:szCs w:val="20"/>
          <w:color w:val="auto"/>
        </w:rPr>
      </w:pPr>
      <w:r>
        <w:rPr>
          <w:rFonts w:ascii="Arial" w:cs="Arial" w:eastAsia="Arial" w:hAnsi="Arial"/>
          <w:sz w:val="17"/>
          <w:szCs w:val="17"/>
          <w:b w:val="1"/>
          <w:bCs w:val="1"/>
          <w:color w:val="auto"/>
        </w:rPr>
        <w:t>Century Therapeutics, Inc.</w:t>
      </w:r>
    </w:p>
    <w:tbl>
      <w:tblPr>
        <w:tblLayout w:type="fixed"/>
        <w:tblInd w:w="1180" w:type="dxa"/>
        <w:tblCellMar>
          <w:top w:w="0" w:type="dxa"/>
          <w:left w:w="0" w:type="dxa"/>
          <w:bottom w:w="0" w:type="dxa"/>
          <w:right w:w="0" w:type="dxa"/>
        </w:tblCellMar>
      </w:tblPr>
      <w:tr>
        <w:trPr>
          <w:trHeight w:val="120"/>
        </w:trPr>
        <w:tc>
          <w:tcPr>
            <w:tcW w:w="1740" w:type="dxa"/>
            <w:vAlign w:val="bottom"/>
          </w:tcPr>
          <w:p>
            <w:pPr>
              <w:spacing w:after="0"/>
              <w:rPr>
                <w:sz w:val="10"/>
                <w:szCs w:val="10"/>
                <w:color w:val="auto"/>
              </w:rPr>
            </w:pP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(Exact name of registrant as specified in its charter)</w:t>
            </w:r>
          </w:p>
        </w:tc>
        <w:tc>
          <w:tcPr>
            <w:tcW w:w="1480" w:type="dxa"/>
            <w:vAlign w:val="bottom"/>
          </w:tcPr>
          <w:p>
            <w:pPr>
              <w:spacing w:after="0"/>
              <w:rPr>
                <w:sz w:val="10"/>
                <w:szCs w:val="10"/>
                <w:color w:val="auto"/>
              </w:rPr>
            </w:pPr>
          </w:p>
        </w:tc>
      </w:tr>
      <w:tr>
        <w:trPr>
          <w:trHeight w:val="169"/>
        </w:trPr>
        <w:tc>
          <w:tcPr>
            <w:tcW w:w="1740" w:type="dxa"/>
            <w:vAlign w:val="bottom"/>
          </w:tcPr>
          <w:p>
            <w:pPr>
              <w:jc w:val="center"/>
              <w:ind w:right="286"/>
              <w:spacing w:after="0"/>
              <w:rPr>
                <w:sz w:val="20"/>
                <w:szCs w:val="20"/>
                <w:color w:val="auto"/>
              </w:rPr>
            </w:pPr>
            <w:r>
              <w:rPr>
                <w:rFonts w:ascii="Arial" w:cs="Arial" w:eastAsia="Arial" w:hAnsi="Arial"/>
                <w:sz w:val="12"/>
                <w:szCs w:val="12"/>
                <w:b w:val="1"/>
                <w:bCs w:val="1"/>
                <w:color w:val="auto"/>
              </w:rPr>
              <w:t>Delaware</w:t>
            </w:r>
          </w:p>
        </w:tc>
        <w:tc>
          <w:tcPr>
            <w:tcW w:w="3240" w:type="dxa"/>
            <w:vAlign w:val="bottom"/>
          </w:tcPr>
          <w:p>
            <w:pPr>
              <w:jc w:val="center"/>
              <w:ind w:right="27"/>
              <w:spacing w:after="0"/>
              <w:rPr>
                <w:sz w:val="20"/>
                <w:szCs w:val="20"/>
                <w:color w:val="auto"/>
              </w:rPr>
            </w:pPr>
            <w:r>
              <w:rPr>
                <w:rFonts w:ascii="Arial" w:cs="Arial" w:eastAsia="Arial" w:hAnsi="Arial"/>
                <w:sz w:val="12"/>
                <w:szCs w:val="12"/>
                <w:b w:val="1"/>
                <w:bCs w:val="1"/>
                <w:color w:val="auto"/>
              </w:rPr>
              <w:t>2836</w:t>
            </w:r>
          </w:p>
        </w:tc>
        <w:tc>
          <w:tcPr>
            <w:tcW w:w="1480" w:type="dxa"/>
            <w:vAlign w:val="bottom"/>
          </w:tcPr>
          <w:p>
            <w:pPr>
              <w:jc w:val="center"/>
              <w:ind w:left="386"/>
              <w:spacing w:after="0"/>
              <w:rPr>
                <w:sz w:val="20"/>
                <w:szCs w:val="20"/>
                <w:color w:val="auto"/>
              </w:rPr>
            </w:pPr>
            <w:r>
              <w:rPr>
                <w:rFonts w:ascii="Arial" w:cs="Arial" w:eastAsia="Arial" w:hAnsi="Arial"/>
                <w:sz w:val="12"/>
                <w:szCs w:val="12"/>
                <w:b w:val="1"/>
                <w:bCs w:val="1"/>
                <w:color w:val="auto"/>
              </w:rPr>
              <w:t>84-2040295</w:t>
            </w:r>
          </w:p>
        </w:tc>
      </w:tr>
      <w:tr>
        <w:trPr>
          <w:trHeight w:val="107"/>
        </w:trPr>
        <w:tc>
          <w:tcPr>
            <w:tcW w:w="1740" w:type="dxa"/>
            <w:vAlign w:val="bottom"/>
          </w:tcPr>
          <w:p>
            <w:pPr>
              <w:jc w:val="center"/>
              <w:ind w:right="326"/>
              <w:spacing w:after="0" w:line="107" w:lineRule="exact"/>
              <w:rPr>
                <w:sz w:val="20"/>
                <w:szCs w:val="20"/>
                <w:color w:val="auto"/>
              </w:rPr>
            </w:pPr>
            <w:r>
              <w:rPr>
                <w:rFonts w:ascii="Arial" w:cs="Arial" w:eastAsia="Arial" w:hAnsi="Arial"/>
                <w:sz w:val="10"/>
                <w:szCs w:val="10"/>
                <w:color w:val="auto"/>
              </w:rPr>
              <w:t>(State or other jurisdiction of</w:t>
            </w:r>
          </w:p>
        </w:tc>
        <w:tc>
          <w:tcPr>
            <w:tcW w:w="3240" w:type="dxa"/>
            <w:vAlign w:val="bottom"/>
          </w:tcPr>
          <w:p>
            <w:pPr>
              <w:ind w:left="900"/>
              <w:spacing w:after="0" w:line="107" w:lineRule="exact"/>
              <w:rPr>
                <w:sz w:val="20"/>
                <w:szCs w:val="20"/>
                <w:color w:val="auto"/>
              </w:rPr>
            </w:pPr>
            <w:r>
              <w:rPr>
                <w:rFonts w:ascii="Arial" w:cs="Arial" w:eastAsia="Arial" w:hAnsi="Arial"/>
                <w:sz w:val="10"/>
                <w:szCs w:val="10"/>
                <w:color w:val="auto"/>
              </w:rPr>
              <w:t>(Primary Standard Industrial</w:t>
            </w:r>
          </w:p>
        </w:tc>
        <w:tc>
          <w:tcPr>
            <w:tcW w:w="1480" w:type="dxa"/>
            <w:vAlign w:val="bottom"/>
          </w:tcPr>
          <w:p>
            <w:pPr>
              <w:jc w:val="center"/>
              <w:ind w:left="366"/>
              <w:spacing w:after="0" w:line="107" w:lineRule="exact"/>
              <w:rPr>
                <w:sz w:val="20"/>
                <w:szCs w:val="20"/>
                <w:color w:val="auto"/>
              </w:rPr>
            </w:pPr>
            <w:r>
              <w:rPr>
                <w:rFonts w:ascii="Arial" w:cs="Arial" w:eastAsia="Arial" w:hAnsi="Arial"/>
                <w:sz w:val="10"/>
                <w:szCs w:val="10"/>
                <w:color w:val="auto"/>
              </w:rPr>
              <w:t>(I.R.S. Employer</w:t>
            </w:r>
          </w:p>
        </w:tc>
      </w:tr>
      <w:tr>
        <w:trPr>
          <w:trHeight w:val="131"/>
        </w:trPr>
        <w:tc>
          <w:tcPr>
            <w:tcW w:w="1740" w:type="dxa"/>
            <w:vAlign w:val="bottom"/>
          </w:tcPr>
          <w:p>
            <w:pPr>
              <w:jc w:val="center"/>
              <w:ind w:right="306"/>
              <w:spacing w:after="0"/>
              <w:rPr>
                <w:sz w:val="20"/>
                <w:szCs w:val="20"/>
                <w:color w:val="auto"/>
              </w:rPr>
            </w:pPr>
            <w:r>
              <w:rPr>
                <w:rFonts w:ascii="Arial" w:cs="Arial" w:eastAsia="Arial" w:hAnsi="Arial"/>
                <w:sz w:val="10"/>
                <w:szCs w:val="10"/>
                <w:color w:val="auto"/>
              </w:rPr>
              <w:t>incorporation or organization)</w:t>
            </w: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Classification Code Number)</w:t>
            </w:r>
          </w:p>
        </w:tc>
        <w:tc>
          <w:tcPr>
            <w:tcW w:w="1480" w:type="dxa"/>
            <w:vAlign w:val="bottom"/>
          </w:tcPr>
          <w:p>
            <w:pPr>
              <w:jc w:val="center"/>
              <w:ind w:left="386"/>
              <w:spacing w:after="0"/>
              <w:rPr>
                <w:sz w:val="20"/>
                <w:szCs w:val="20"/>
                <w:color w:val="auto"/>
              </w:rPr>
            </w:pPr>
            <w:r>
              <w:rPr>
                <w:rFonts w:ascii="Arial" w:cs="Arial" w:eastAsia="Arial" w:hAnsi="Arial"/>
                <w:sz w:val="10"/>
                <w:szCs w:val="10"/>
                <w:color w:val="auto"/>
              </w:rPr>
              <w:t>Identification Number)</w:t>
            </w:r>
          </w:p>
        </w:tc>
      </w:tr>
    </w:tbl>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3675 Market Street</w:t>
      </w:r>
    </w:p>
    <w:p>
      <w:pPr>
        <w:jc w:val="center"/>
        <w:ind w:right="59"/>
        <w:spacing w:after="0" w:line="231" w:lineRule="auto"/>
        <w:rPr>
          <w:sz w:val="20"/>
          <w:szCs w:val="20"/>
          <w:color w:val="auto"/>
        </w:rPr>
      </w:pPr>
      <w:r>
        <w:rPr>
          <w:rFonts w:ascii="Arial" w:cs="Arial" w:eastAsia="Arial" w:hAnsi="Arial"/>
          <w:sz w:val="12"/>
          <w:szCs w:val="12"/>
          <w:b w:val="1"/>
          <w:bCs w:val="1"/>
          <w:color w:val="auto"/>
        </w:rPr>
        <w:t>Philadelphia, Pennsylvania 19104</w:t>
      </w:r>
    </w:p>
    <w:p>
      <w:pPr>
        <w:jc w:val="center"/>
        <w:ind w:right="19"/>
        <w:spacing w:after="0"/>
        <w:rPr>
          <w:sz w:val="20"/>
          <w:szCs w:val="20"/>
          <w:color w:val="auto"/>
        </w:rPr>
      </w:pPr>
      <w:r>
        <w:rPr>
          <w:rFonts w:ascii="Arial" w:cs="Arial" w:eastAsia="Arial" w:hAnsi="Arial"/>
          <w:sz w:val="12"/>
          <w:szCs w:val="12"/>
          <w:b w:val="1"/>
          <w:bCs w:val="1"/>
          <w:color w:val="auto"/>
        </w:rPr>
        <w:t>(267) 817-5790</w:t>
      </w:r>
    </w:p>
    <w:p>
      <w:pPr>
        <w:jc w:val="center"/>
        <w:ind w:right="19"/>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Osvaldo Flores, Ph.D.</w:t>
      </w:r>
    </w:p>
    <w:p>
      <w:pPr>
        <w:jc w:val="center"/>
        <w:ind w:right="59"/>
        <w:spacing w:after="0" w:line="231"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59"/>
        <w:spacing w:after="0" w:line="223" w:lineRule="auto"/>
        <w:rPr>
          <w:sz w:val="20"/>
          <w:szCs w:val="20"/>
          <w:color w:val="auto"/>
        </w:rPr>
      </w:pPr>
      <w:r>
        <w:rPr>
          <w:rFonts w:ascii="Arial" w:cs="Arial" w:eastAsia="Arial" w:hAnsi="Arial"/>
          <w:sz w:val="12"/>
          <w:szCs w:val="12"/>
          <w:b w:val="1"/>
          <w:bCs w:val="1"/>
          <w:color w:val="auto"/>
        </w:rPr>
        <w:t>Century Therapeutics, Inc.</w:t>
      </w:r>
    </w:p>
    <w:p>
      <w:pPr>
        <w:jc w:val="center"/>
        <w:ind w:right="59"/>
        <w:spacing w:after="0" w:line="224" w:lineRule="auto"/>
        <w:rPr>
          <w:sz w:val="20"/>
          <w:szCs w:val="20"/>
          <w:color w:val="auto"/>
        </w:rPr>
      </w:pPr>
      <w:r>
        <w:rPr>
          <w:rFonts w:ascii="Arial" w:cs="Arial" w:eastAsia="Arial" w:hAnsi="Arial"/>
          <w:sz w:val="12"/>
          <w:szCs w:val="12"/>
          <w:b w:val="1"/>
          <w:bCs w:val="1"/>
          <w:color w:val="auto"/>
        </w:rPr>
        <w:t>3675 Market Street</w:t>
      </w:r>
    </w:p>
    <w:p>
      <w:pPr>
        <w:jc w:val="center"/>
        <w:ind w:right="59"/>
        <w:spacing w:after="0" w:line="223" w:lineRule="auto"/>
        <w:rPr>
          <w:sz w:val="20"/>
          <w:szCs w:val="20"/>
          <w:color w:val="auto"/>
        </w:rPr>
      </w:pPr>
      <w:r>
        <w:rPr>
          <w:rFonts w:ascii="Arial" w:cs="Arial" w:eastAsia="Arial" w:hAnsi="Arial"/>
          <w:sz w:val="12"/>
          <w:szCs w:val="12"/>
          <w:b w:val="1"/>
          <w:bCs w:val="1"/>
          <w:color w:val="auto"/>
        </w:rPr>
        <w:t>Philadelphia, Pennsylvania 19104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(267) 817-5790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tbl>
      <w:tblPr>
        <w:tblLayout w:type="fixed"/>
        <w:tblInd w:w="1300" w:type="dxa"/>
        <w:tblCellMar>
          <w:top w:w="0" w:type="dxa"/>
          <w:left w:w="0" w:type="dxa"/>
          <w:bottom w:w="0" w:type="dxa"/>
          <w:right w:w="0" w:type="dxa"/>
        </w:tblCellMar>
      </w:tblPr>
      <w:tr>
        <w:trPr>
          <w:trHeight w:val="130"/>
        </w:trPr>
        <w:tc>
          <w:tcPr>
            <w:tcW w:w="2660" w:type="dxa"/>
            <w:vAlign w:val="bottom"/>
          </w:tcPr>
          <w:p>
            <w:pPr>
              <w:spacing w:after="0"/>
              <w:rPr>
                <w:sz w:val="11"/>
                <w:szCs w:val="11"/>
                <w:color w:val="auto"/>
              </w:rPr>
            </w:pPr>
          </w:p>
        </w:tc>
        <w:tc>
          <w:tcPr>
            <w:tcW w:w="3300" w:type="dxa"/>
            <w:vAlign w:val="bottom"/>
          </w:tcPr>
          <w:p>
            <w:pPr>
              <w:ind w:left="260"/>
              <w:spacing w:after="0" w:line="130" w:lineRule="exact"/>
              <w:rPr>
                <w:sz w:val="20"/>
                <w:szCs w:val="20"/>
                <w:color w:val="auto"/>
              </w:rPr>
            </w:pPr>
            <w:r>
              <w:rPr>
                <w:rFonts w:ascii="Arial" w:cs="Arial" w:eastAsia="Arial" w:hAnsi="Arial"/>
                <w:sz w:val="12"/>
                <w:szCs w:val="12"/>
                <w:color w:val="auto"/>
              </w:rPr>
              <w:t>Copies to:</w:t>
            </w:r>
          </w:p>
        </w:tc>
      </w:tr>
      <w:tr>
        <w:trPr>
          <w:trHeight w:val="129"/>
        </w:trPr>
        <w:tc>
          <w:tcPr>
            <w:tcW w:w="2660" w:type="dxa"/>
            <w:vAlign w:val="bottom"/>
          </w:tcPr>
          <w:p>
            <w:pPr>
              <w:jc w:val="center"/>
              <w:ind w:right="199"/>
              <w:spacing w:after="0" w:line="129" w:lineRule="exact"/>
              <w:rPr>
                <w:sz w:val="20"/>
                <w:szCs w:val="20"/>
                <w:color w:val="auto"/>
              </w:rPr>
            </w:pPr>
            <w:r>
              <w:rPr>
                <w:rFonts w:ascii="Arial" w:cs="Arial" w:eastAsia="Arial" w:hAnsi="Arial"/>
                <w:sz w:val="12"/>
                <w:szCs w:val="12"/>
                <w:b w:val="1"/>
                <w:bCs w:val="1"/>
                <w:color w:val="auto"/>
              </w:rPr>
              <w:t>Rachael M. Bushey</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Richard Truesdell, Jr.</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Jennifer L. Porter</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Roshni Cariello</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Troutman Pepper Hamilton Sanders LLP</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Davis Polk &amp; Wardwell LLP</w:t>
            </w:r>
          </w:p>
        </w:tc>
      </w:tr>
      <w:tr>
        <w:trPr>
          <w:trHeight w:val="129"/>
        </w:trPr>
        <w:tc>
          <w:tcPr>
            <w:tcW w:w="2660" w:type="dxa"/>
            <w:vAlign w:val="bottom"/>
          </w:tcPr>
          <w:p>
            <w:pPr>
              <w:jc w:val="center"/>
              <w:ind w:right="199"/>
              <w:spacing w:after="0" w:line="129" w:lineRule="exact"/>
              <w:rPr>
                <w:sz w:val="20"/>
                <w:szCs w:val="20"/>
                <w:color w:val="auto"/>
              </w:rPr>
            </w:pPr>
            <w:r>
              <w:rPr>
                <w:rFonts w:ascii="Arial" w:cs="Arial" w:eastAsia="Arial" w:hAnsi="Arial"/>
                <w:sz w:val="12"/>
                <w:szCs w:val="12"/>
                <w:b w:val="1"/>
                <w:bCs w:val="1"/>
                <w:color w:val="auto"/>
              </w:rPr>
              <w:t>3000 Two Logan Square</w:t>
            </w:r>
          </w:p>
        </w:tc>
        <w:tc>
          <w:tcPr>
            <w:tcW w:w="3300" w:type="dxa"/>
            <w:vAlign w:val="bottom"/>
          </w:tcPr>
          <w:p>
            <w:pPr>
              <w:jc w:val="center"/>
              <w:ind w:left="1619"/>
              <w:spacing w:after="0" w:line="129" w:lineRule="exact"/>
              <w:rPr>
                <w:sz w:val="20"/>
                <w:szCs w:val="20"/>
                <w:color w:val="auto"/>
              </w:rPr>
            </w:pPr>
            <w:r>
              <w:rPr>
                <w:rFonts w:ascii="Arial" w:cs="Arial" w:eastAsia="Arial" w:hAnsi="Arial"/>
                <w:sz w:val="12"/>
                <w:szCs w:val="12"/>
                <w:b w:val="1"/>
                <w:bCs w:val="1"/>
                <w:color w:val="auto"/>
              </w:rPr>
              <w:t>450 Lexington Avenue</w:t>
            </w:r>
          </w:p>
        </w:tc>
      </w:tr>
      <w:tr>
        <w:trPr>
          <w:trHeight w:val="129"/>
        </w:trPr>
        <w:tc>
          <w:tcPr>
            <w:tcW w:w="2660" w:type="dxa"/>
            <w:vAlign w:val="bottom"/>
          </w:tcPr>
          <w:p>
            <w:pPr>
              <w:jc w:val="center"/>
              <w:ind w:right="179"/>
              <w:spacing w:after="0" w:line="129" w:lineRule="exact"/>
              <w:rPr>
                <w:sz w:val="20"/>
                <w:szCs w:val="20"/>
                <w:color w:val="auto"/>
              </w:rPr>
            </w:pPr>
            <w:r>
              <w:rPr>
                <w:rFonts w:ascii="Arial" w:cs="Arial" w:eastAsia="Arial" w:hAnsi="Arial"/>
                <w:sz w:val="12"/>
                <w:szCs w:val="12"/>
                <w:b w:val="1"/>
                <w:bCs w:val="1"/>
                <w:color w:val="auto"/>
              </w:rPr>
              <w:t>Philadelphia, Pennsylvania 19103</w:t>
            </w:r>
          </w:p>
        </w:tc>
        <w:tc>
          <w:tcPr>
            <w:tcW w:w="3300" w:type="dxa"/>
            <w:vAlign w:val="bottom"/>
          </w:tcPr>
          <w:p>
            <w:pPr>
              <w:jc w:val="center"/>
              <w:ind w:left="1599"/>
              <w:spacing w:after="0" w:line="129" w:lineRule="exact"/>
              <w:rPr>
                <w:sz w:val="20"/>
                <w:szCs w:val="20"/>
                <w:color w:val="auto"/>
              </w:rPr>
            </w:pPr>
            <w:r>
              <w:rPr>
                <w:rFonts w:ascii="Arial" w:cs="Arial" w:eastAsia="Arial" w:hAnsi="Arial"/>
                <w:sz w:val="12"/>
                <w:szCs w:val="12"/>
                <w:b w:val="1"/>
                <w:bCs w:val="1"/>
                <w:color w:val="auto"/>
              </w:rPr>
              <w:t>New York, New York 10017</w:t>
            </w:r>
          </w:p>
        </w:tc>
      </w:tr>
      <w:tr>
        <w:trPr>
          <w:trHeight w:val="160"/>
        </w:trPr>
        <w:tc>
          <w:tcPr>
            <w:tcW w:w="2660" w:type="dxa"/>
            <w:vAlign w:val="bottom"/>
          </w:tcPr>
          <w:p>
            <w:pPr>
              <w:jc w:val="center"/>
              <w:ind w:right="159"/>
              <w:spacing w:after="0"/>
              <w:rPr>
                <w:sz w:val="20"/>
                <w:szCs w:val="20"/>
                <w:color w:val="auto"/>
              </w:rPr>
            </w:pPr>
            <w:r>
              <w:rPr>
                <w:rFonts w:ascii="Arial" w:cs="Arial" w:eastAsia="Arial" w:hAnsi="Arial"/>
                <w:sz w:val="12"/>
                <w:szCs w:val="12"/>
                <w:b w:val="1"/>
                <w:bCs w:val="1"/>
                <w:color w:val="auto"/>
              </w:rPr>
              <w:t>(215) 981-4331</w:t>
            </w:r>
          </w:p>
        </w:tc>
        <w:tc>
          <w:tcPr>
            <w:tcW w:w="3300" w:type="dxa"/>
            <w:vAlign w:val="bottom"/>
          </w:tcPr>
          <w:p>
            <w:pPr>
              <w:jc w:val="center"/>
              <w:ind w:left="1639"/>
              <w:spacing w:after="0"/>
              <w:rPr>
                <w:sz w:val="20"/>
                <w:szCs w:val="20"/>
                <w:color w:val="auto"/>
              </w:rPr>
            </w:pPr>
            <w:r>
              <w:rPr>
                <w:rFonts w:ascii="Arial" w:cs="Arial" w:eastAsia="Arial" w:hAnsi="Arial"/>
                <w:sz w:val="12"/>
                <w:szCs w:val="12"/>
                <w:b w:val="1"/>
                <w:bCs w:val="1"/>
                <w:color w:val="auto"/>
              </w:rPr>
              <w:t>(212) 450-4000</w:t>
            </w:r>
          </w:p>
        </w:tc>
      </w:tr>
    </w:tbl>
    <w:p>
      <w:pPr>
        <w:spacing w:after="0" w:line="44" w:lineRule="exact"/>
        <w:rPr>
          <w:sz w:val="24"/>
          <w:szCs w:val="24"/>
          <w:color w:val="auto"/>
        </w:rPr>
      </w:pPr>
    </w:p>
    <w:p>
      <w:pPr>
        <w:jc w:val="center"/>
        <w:ind w:left="2080" w:right="180"/>
        <w:spacing w:after="0" w:line="254" w:lineRule="auto"/>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ind w:left="640" w:right="739"/>
        <w:spacing w:after="0" w:line="144"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959"/>
        <w:spacing w:after="0" w:line="138"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1" w:lineRule="exact"/>
        <w:rPr>
          <w:sz w:val="24"/>
          <w:szCs w:val="24"/>
          <w:color w:val="auto"/>
        </w:rPr>
      </w:pPr>
    </w:p>
    <w:p>
      <w:pPr>
        <w:ind w:left="640" w:right="939"/>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919"/>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 w:lineRule="exact"/>
        <w:rPr>
          <w:sz w:val="24"/>
          <w:szCs w:val="24"/>
          <w:color w:val="auto"/>
        </w:rPr>
      </w:pPr>
    </w:p>
    <w:p>
      <w:pPr>
        <w:ind w:left="640" w:right="679"/>
        <w:spacing w:after="0" w:line="23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18" w:right="1440" w:bottom="1440" w:gutter="0" w:footer="0" w:header="0"/>
        </w:sectPr>
      </w:pPr>
    </w:p>
    <w:p>
      <w:pPr>
        <w:spacing w:after="0" w:line="1" w:lineRule="exact"/>
        <w:rPr>
          <w:sz w:val="24"/>
          <w:szCs w:val="24"/>
          <w:color w:val="auto"/>
        </w:rPr>
      </w:pPr>
    </w:p>
    <w:p>
      <w:pPr>
        <w:ind w:left="9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6" w:lineRule="exact"/>
        <w:rPr>
          <w:sz w:val="24"/>
          <w:szCs w:val="24"/>
          <w:color w:val="auto"/>
        </w:rPr>
      </w:pPr>
    </w:p>
    <w:p>
      <w:pPr>
        <w:sectPr>
          <w:pgSz w:w="11900" w:h="16838" w:orient="portrait"/>
          <w:cols w:equalWidth="0" w:num="2">
            <w:col w:w="3860" w:space="720"/>
            <w:col w:w="4439"/>
          </w:cols>
          <w:pgMar w:left="1440" w:top="218" w:right="1440" w:bottom="1440" w:gutter="0" w:footer="0" w:header="0"/>
          <w:type w:val="continuous"/>
        </w:sectPr>
      </w:pPr>
    </w:p>
    <w:p>
      <w:pPr>
        <w:ind w:left="9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68" w:lineRule="exact"/>
        <w:rPr>
          <w:sz w:val="24"/>
          <w:szCs w:val="24"/>
          <w:color w:val="auto"/>
        </w:rPr>
      </w:pPr>
    </w:p>
    <w:p>
      <w:pPr>
        <w:sectPr>
          <w:pgSz w:w="11900" w:h="16838" w:orient="portrait"/>
          <w:cols w:equalWidth="0" w:num="2">
            <w:col w:w="3860" w:space="720"/>
            <w:col w:w="4439"/>
          </w:cols>
          <w:pgMar w:left="1440" w:top="218" w:right="1440" w:bottom="1440" w:gutter="0" w:footer="0" w:header="0"/>
          <w:type w:val="continuous"/>
        </w:sectPr>
      </w:pPr>
    </w:p>
    <w:p>
      <w:pPr>
        <w:ind w:left="4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9019"/>
          </w:cols>
          <w:pgMar w:left="1440" w:top="218" w:right="1440" w:bottom="1440" w:gutter="0" w:footer="0" w:header="0"/>
          <w:type w:val="continuous"/>
        </w:sectPr>
      </w:pPr>
    </w:p>
    <w:p>
      <w:pPr>
        <w:spacing w:after="0" w:line="171" w:lineRule="exact"/>
        <w:rPr>
          <w:sz w:val="24"/>
          <w:szCs w:val="24"/>
          <w:color w:val="auto"/>
        </w:rPr>
      </w:pPr>
    </w:p>
    <w:p>
      <w:pPr>
        <w:ind w:left="640" w:right="1059"/>
        <w:spacing w:after="0" w:line="14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jc w:val="center"/>
        <w:ind w:right="19"/>
        <w:spacing w:after="0" w:line="231" w:lineRule="auto"/>
        <w:rPr>
          <w:sz w:val="20"/>
          <w:szCs w:val="20"/>
          <w:color w:val="auto"/>
        </w:rPr>
      </w:pPr>
      <w:r>
        <w:rPr>
          <w:rFonts w:ascii="Arial" w:cs="Arial" w:eastAsia="Arial" w:hAnsi="Arial"/>
          <w:sz w:val="12"/>
          <w:szCs w:val="12"/>
          <w:b w:val="1"/>
          <w:bCs w:val="1"/>
          <w:color w:val="auto"/>
        </w:rPr>
        <w:t>CALCULATION OF REGISTRATION FEE</w:t>
      </w:r>
    </w:p>
    <w:tbl>
      <w:tblPr>
        <w:tblLayout w:type="fixed"/>
        <w:tblInd w:w="640" w:type="dxa"/>
        <w:tblCellMar>
          <w:top w:w="0" w:type="dxa"/>
          <w:left w:w="0" w:type="dxa"/>
          <w:bottom w:w="0" w:type="dxa"/>
          <w:right w:w="0" w:type="dxa"/>
        </w:tblCellMar>
      </w:tblPr>
      <w:tr>
        <w:trPr>
          <w:trHeight w:val="141"/>
        </w:trPr>
        <w:tc>
          <w:tcPr>
            <w:tcW w:w="38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Proposed</w:t>
            </w:r>
          </w:p>
        </w:tc>
        <w:tc>
          <w:tcPr>
            <w:tcW w:w="96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Proposed</w:t>
            </w:r>
          </w:p>
        </w:tc>
        <w:tc>
          <w:tcPr>
            <w:tcW w:w="1120" w:type="dxa"/>
            <w:vAlign w:val="bottom"/>
            <w:tcBorders>
              <w:top w:val="single" w:sz="8" w:color="auto"/>
            </w:tcBorders>
          </w:tcPr>
          <w:p>
            <w:pPr>
              <w:spacing w:after="0"/>
              <w:rPr>
                <w:sz w:val="12"/>
                <w:szCs w:val="12"/>
                <w:color w:val="auto"/>
              </w:rPr>
            </w:pPr>
          </w:p>
        </w:tc>
      </w:tr>
      <w:tr>
        <w:trPr>
          <w:trHeight w:val="139"/>
        </w:trPr>
        <w:tc>
          <w:tcPr>
            <w:tcW w:w="3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maximum</w:t>
            </w: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maximum</w:t>
            </w:r>
          </w:p>
        </w:tc>
        <w:tc>
          <w:tcPr>
            <w:tcW w:w="1120" w:type="dxa"/>
            <w:vAlign w:val="bottom"/>
          </w:tcPr>
          <w:p>
            <w:pPr>
              <w:spacing w:after="0"/>
              <w:rPr>
                <w:sz w:val="12"/>
                <w:szCs w:val="12"/>
                <w:color w:val="auto"/>
              </w:rPr>
            </w:pPr>
          </w:p>
        </w:tc>
      </w:tr>
      <w:tr>
        <w:trPr>
          <w:trHeight w:val="128"/>
        </w:trPr>
        <w:tc>
          <w:tcPr>
            <w:tcW w:w="3860" w:type="dxa"/>
            <w:vAlign w:val="bottom"/>
            <w:tcBorders>
              <w:right w:val="single" w:sz="8" w:color="auto"/>
            </w:tcBorders>
          </w:tcPr>
          <w:p>
            <w:pPr>
              <w:jc w:val="center"/>
              <w:ind w:right="22"/>
              <w:spacing w:after="0"/>
              <w:rPr>
                <w:sz w:val="20"/>
                <w:szCs w:val="20"/>
                <w:color w:val="auto"/>
              </w:rPr>
            </w:pPr>
            <w:r>
              <w:rPr>
                <w:rFonts w:ascii="Arial" w:cs="Arial" w:eastAsia="Arial" w:hAnsi="Arial"/>
                <w:sz w:val="11"/>
                <w:szCs w:val="11"/>
                <w:b w:val="1"/>
                <w:bCs w:val="1"/>
                <w:color w:val="auto"/>
              </w:rPr>
              <w:t>Title of each class of</w:t>
            </w:r>
          </w:p>
        </w:tc>
        <w:tc>
          <w:tcPr>
            <w:tcW w:w="880" w:type="dxa"/>
            <w:vAlign w:val="bottom"/>
            <w:tcBorders>
              <w:right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Amount to be</w:t>
            </w:r>
          </w:p>
        </w:tc>
        <w:tc>
          <w:tcPr>
            <w:tcW w:w="90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offering price</w:t>
            </w: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aggregate</w:t>
            </w:r>
          </w:p>
        </w:tc>
        <w:tc>
          <w:tcPr>
            <w:tcW w:w="1120" w:type="dxa"/>
            <w:vAlign w:val="bottom"/>
          </w:tcPr>
          <w:p>
            <w:pPr>
              <w:jc w:val="center"/>
              <w:ind w:left="382"/>
              <w:spacing w:after="0"/>
              <w:rPr>
                <w:sz w:val="20"/>
                <w:szCs w:val="20"/>
                <w:color w:val="auto"/>
              </w:rPr>
            </w:pPr>
            <w:r>
              <w:rPr>
                <w:rFonts w:ascii="Arial" w:cs="Arial" w:eastAsia="Arial" w:hAnsi="Arial"/>
                <w:sz w:val="11"/>
                <w:szCs w:val="11"/>
                <w:b w:val="1"/>
                <w:bCs w:val="1"/>
                <w:color w:val="auto"/>
              </w:rPr>
              <w:t>Amount of</w:t>
            </w:r>
          </w:p>
        </w:tc>
      </w:tr>
      <w:tr>
        <w:trPr>
          <w:trHeight w:val="193"/>
        </w:trPr>
        <w:tc>
          <w:tcPr>
            <w:tcW w:w="386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1"/>
                <w:szCs w:val="11"/>
                <w:b w:val="1"/>
                <w:bCs w:val="1"/>
                <w:color w:val="auto"/>
              </w:rPr>
              <w:t>securities to be registered</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1"/>
                <w:szCs w:val="11"/>
                <w:b w:val="1"/>
                <w:bCs w:val="1"/>
                <w:color w:val="auto"/>
              </w:rPr>
              <w:t>registered</w:t>
            </w:r>
          </w:p>
        </w:tc>
        <w:tc>
          <w:tcPr>
            <w:tcW w:w="90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per share</w:t>
            </w:r>
          </w:p>
        </w:tc>
        <w:tc>
          <w:tcPr>
            <w:tcW w:w="960" w:type="dxa"/>
            <w:vAlign w:val="bottom"/>
            <w:tcBorders>
              <w:bottom w:val="single" w:sz="8" w:color="auto"/>
              <w:right w:val="single" w:sz="8" w:color="auto"/>
            </w:tcBorders>
          </w:tcPr>
          <w:p>
            <w:pPr>
              <w:jc w:val="right"/>
              <w:ind w:right="2"/>
              <w:spacing w:after="0" w:line="193"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7"/>
                <w:szCs w:val="17"/>
                <w:b w:val="1"/>
                <w:bCs w:val="1"/>
                <w:color w:val="auto"/>
                <w:vertAlign w:val="superscript"/>
              </w:rPr>
              <w:t>(2)</w:t>
            </w:r>
          </w:p>
        </w:tc>
        <w:tc>
          <w:tcPr>
            <w:tcW w:w="1120" w:type="dxa"/>
            <w:vAlign w:val="bottom"/>
            <w:tcBorders>
              <w:bottom w:val="single" w:sz="8" w:color="auto"/>
            </w:tcBorders>
          </w:tcPr>
          <w:p>
            <w:pPr>
              <w:ind w:left="20"/>
              <w:spacing w:after="0" w:line="193"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7"/>
                <w:szCs w:val="17"/>
                <w:b w:val="1"/>
                <w:bCs w:val="1"/>
                <w:color w:val="auto"/>
                <w:vertAlign w:val="superscript"/>
              </w:rPr>
              <w:t>(3)(4)</w:t>
            </w:r>
          </w:p>
        </w:tc>
      </w:tr>
      <w:tr>
        <w:trPr>
          <w:trHeight w:val="151"/>
        </w:trPr>
        <w:tc>
          <w:tcPr>
            <w:tcW w:w="38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Common Stock, $0.0001 par value per share</w:t>
            </w:r>
          </w:p>
        </w:tc>
        <w:tc>
          <w:tcPr>
            <w:tcW w:w="880" w:type="dxa"/>
            <w:vAlign w:val="bottom"/>
            <w:tcBorders>
              <w:bottom w:val="single" w:sz="8" w:color="auto"/>
              <w:right w:val="single" w:sz="8" w:color="auto"/>
            </w:tcBorders>
            <w:shd w:val="clear" w:color="auto" w:fill="CCEEFF"/>
          </w:tcPr>
          <w:p>
            <w:pPr>
              <w:jc w:val="center"/>
              <w:ind w:right="3"/>
              <w:spacing w:after="0" w:line="151" w:lineRule="exact"/>
              <w:rPr>
                <w:sz w:val="20"/>
                <w:szCs w:val="20"/>
                <w:color w:val="auto"/>
              </w:rPr>
            </w:pPr>
            <w:r>
              <w:rPr>
                <w:rFonts w:ascii="Arial" w:cs="Arial" w:eastAsia="Arial" w:hAnsi="Arial"/>
                <w:sz w:val="12"/>
                <w:szCs w:val="12"/>
                <w:color w:val="auto"/>
              </w:rPr>
              <w:t>12,132,500</w:t>
            </w:r>
            <w:r>
              <w:rPr>
                <w:rFonts w:ascii="Arial" w:cs="Arial" w:eastAsia="Arial" w:hAnsi="Arial"/>
                <w:sz w:val="17"/>
                <w:szCs w:val="17"/>
                <w:color w:val="auto"/>
                <w:vertAlign w:val="superscript"/>
              </w:rPr>
              <w:t>(1)</w:t>
            </w:r>
          </w:p>
        </w:tc>
        <w:tc>
          <w:tcPr>
            <w:tcW w:w="90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  20.00</w:t>
            </w:r>
          </w:p>
        </w:tc>
        <w:tc>
          <w:tcPr>
            <w:tcW w:w="960" w:type="dxa"/>
            <w:vAlign w:val="bottom"/>
            <w:tcBorders>
              <w:bottom w:val="single" w:sz="8" w:color="auto"/>
              <w:right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  242,650,000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26,473.12</w:t>
            </w:r>
          </w:p>
        </w:tc>
      </w:tr>
    </w:tbl>
    <w:p>
      <w:pPr>
        <w:spacing w:after="0" w:line="19" w:lineRule="exact"/>
        <w:rPr>
          <w:sz w:val="24"/>
          <w:szCs w:val="24"/>
          <w:color w:val="auto"/>
        </w:rPr>
      </w:pPr>
    </w:p>
    <w:p>
      <w:pPr>
        <w:ind w:left="640" w:right="719"/>
        <w:spacing w:after="0" w:line="238" w:lineRule="auto"/>
        <w:tabs>
          <w:tab w:leader="none" w:pos="834"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pursuant to Rule 457(a) under the Securities Act of 1933, as amended. Includes 1,582,500 additional shares that the underwriters have the option to purchase.</w:t>
      </w:r>
    </w:p>
    <w:p>
      <w:pPr>
        <w:spacing w:after="0" w:line="15" w:lineRule="exact"/>
        <w:rPr>
          <w:rFonts w:ascii="Arial" w:cs="Arial" w:eastAsia="Arial" w:hAnsi="Arial"/>
          <w:sz w:val="12"/>
          <w:szCs w:val="12"/>
          <w:color w:val="auto"/>
        </w:rPr>
      </w:pPr>
    </w:p>
    <w:p>
      <w:pPr>
        <w:jc w:val="both"/>
        <w:ind w:left="640" w:right="739"/>
        <w:spacing w:after="0"/>
        <w:tabs>
          <w:tab w:leader="none" w:pos="834"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pursuant to Rule 457(o) under the Securities Act of 1933, as amended. Includes the aggregate offering price of additional shares of common stock that the underwriters have the option to purchase.</w:t>
      </w:r>
    </w:p>
    <w:p>
      <w:pPr>
        <w:spacing w:after="0" w:line="141" w:lineRule="exact"/>
        <w:rPr>
          <w:rFonts w:ascii="Arial" w:cs="Arial" w:eastAsia="Arial" w:hAnsi="Arial"/>
          <w:sz w:val="12"/>
          <w:szCs w:val="12"/>
          <w:color w:val="auto"/>
        </w:rPr>
      </w:pPr>
    </w:p>
    <w:p>
      <w:pPr>
        <w:ind w:left="840" w:hanging="200"/>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11" w:lineRule="exact"/>
        <w:rPr>
          <w:rFonts w:ascii="Arial" w:cs="Arial" w:eastAsia="Arial" w:hAnsi="Arial"/>
          <w:sz w:val="12"/>
          <w:szCs w:val="12"/>
          <w:color w:val="auto"/>
        </w:rPr>
      </w:pPr>
    </w:p>
    <w:p>
      <w:pPr>
        <w:ind w:left="840" w:hanging="200"/>
        <w:spacing w:after="0"/>
        <w:tabs>
          <w:tab w:leader="none" w:pos="8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$10,910.00 of this registration fee in connection with the initial filing of this registration statement.</w:t>
      </w:r>
    </w:p>
    <w:p>
      <w:pPr>
        <w:spacing w:after="0" w:line="9" w:lineRule="exact"/>
        <w:rPr>
          <w:sz w:val="24"/>
          <w:szCs w:val="24"/>
          <w:color w:val="auto"/>
        </w:rPr>
      </w:pPr>
    </w:p>
    <w:p>
      <w:pPr>
        <w:ind w:left="640" w:right="679" w:firstLine="257"/>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102235</wp:posOffset>
            </wp:positionV>
            <wp:extent cx="49028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2835" cy="698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122555</wp:posOffset>
            </wp:positionV>
            <wp:extent cx="490283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2835" cy="133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327660</wp:posOffset>
            </wp:positionV>
            <wp:extent cx="541782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218" w:right="1440" w:bottom="1440" w:gutter="0" w:footer="0" w:header="0"/>
          <w:type w:val="continuous"/>
        </w:sectPr>
      </w:pPr>
    </w:p>
    <w:bookmarkStart w:id="1" w:name="page2"/>
    <w:bookmarkEnd w:id="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53" w:lineRule="exact"/>
        <w:rPr>
          <w:sz w:val="20"/>
          <w:szCs w:val="20"/>
          <w:color w:val="auto"/>
        </w:rPr>
      </w:pPr>
    </w:p>
    <w:tbl>
      <w:tblPr>
        <w:tblLayout w:type="fixed"/>
        <w:tblInd w:w="960" w:type="dxa"/>
        <w:tblCellMar>
          <w:top w:w="0" w:type="dxa"/>
          <w:left w:w="0" w:type="dxa"/>
          <w:bottom w:w="0" w:type="dxa"/>
          <w:right w:w="0" w:type="dxa"/>
        </w:tblCellMar>
      </w:tblPr>
      <w:tr>
        <w:trPr>
          <w:trHeight w:val="158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and it is not soliciting</w:t>
            </w:r>
          </w:p>
        </w:tc>
        <w:tc>
          <w:tcPr>
            <w:tcW w:w="140" w:type="dxa"/>
            <w:vAlign w:val="bottom"/>
          </w:tcPr>
          <w:p>
            <w:pPr>
              <w:spacing w:after="0"/>
              <w:rPr>
                <w:sz w:val="24"/>
                <w:szCs w:val="24"/>
                <w:color w:val="auto"/>
              </w:rPr>
            </w:pPr>
          </w:p>
        </w:tc>
      </w:tr>
      <w:tr>
        <w:trPr>
          <w:trHeight w:val="71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securities</w:t>
            </w:r>
          </w:p>
        </w:tc>
        <w:tc>
          <w:tcPr>
            <w:tcW w:w="140" w:type="dxa"/>
            <w:vAlign w:val="bottom"/>
          </w:tcPr>
          <w:p>
            <w:pPr>
              <w:spacing w:after="0"/>
              <w:rPr>
                <w:sz w:val="24"/>
                <w:szCs w:val="24"/>
                <w:color w:val="auto"/>
              </w:rPr>
            </w:pPr>
          </w:p>
        </w:tc>
      </w:tr>
      <w:tr>
        <w:trPr>
          <w:trHeight w:val="73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sell these</w:t>
            </w:r>
          </w:p>
        </w:tc>
        <w:tc>
          <w:tcPr>
            <w:tcW w:w="140" w:type="dxa"/>
            <w:vAlign w:val="bottom"/>
          </w:tcPr>
          <w:p>
            <w:pPr>
              <w:spacing w:after="0"/>
              <w:rPr>
                <w:sz w:val="24"/>
                <w:szCs w:val="24"/>
                <w:color w:val="auto"/>
              </w:rPr>
            </w:pPr>
          </w:p>
        </w:tc>
      </w:tr>
      <w:tr>
        <w:trPr>
          <w:trHeight w:val="429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 may be changed. We may not sell these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Commission is effective. This prospectus is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274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filed with 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FC0014"/>
        </w:rPr>
        <w:t>Subject to completion, dated June 14,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10,550,000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2332355"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b w:val="1"/>
          <w:bCs w:val="1"/>
          <w:i w:val="1"/>
          <w:iCs w:val="1"/>
          <w:color w:val="auto"/>
        </w:rPr>
        <w:t>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This is the initial public offering of shares of common stock of Century Therapeutics, Inc.</w:t>
      </w:r>
    </w:p>
    <w:p>
      <w:pPr>
        <w:spacing w:after="0" w:line="107" w:lineRule="exact"/>
        <w:rPr>
          <w:sz w:val="20"/>
          <w:szCs w:val="20"/>
          <w:color w:val="auto"/>
        </w:rPr>
      </w:pPr>
    </w:p>
    <w:p>
      <w:pPr>
        <w:ind w:right="1079"/>
        <w:spacing w:after="0" w:line="278" w:lineRule="auto"/>
        <w:rPr>
          <w:sz w:val="20"/>
          <w:szCs w:val="20"/>
          <w:color w:val="auto"/>
        </w:rPr>
      </w:pPr>
      <w:r>
        <w:rPr>
          <w:rFonts w:ascii="Arial" w:cs="Arial" w:eastAsia="Arial" w:hAnsi="Arial"/>
          <w:sz w:val="14"/>
          <w:szCs w:val="14"/>
          <w:color w:val="auto"/>
        </w:rPr>
        <w:t>We are offering 10,550,000 shares of our common stock. Prior to this offering, there has been no public market for our common stock. It is currently estimated that the initial public offering price per share will be between $18.00 and $20.00.</w:t>
      </w:r>
    </w:p>
    <w:p>
      <w:pPr>
        <w:spacing w:after="0" w:line="72" w:lineRule="exact"/>
        <w:rPr>
          <w:sz w:val="20"/>
          <w:szCs w:val="20"/>
          <w:color w:val="auto"/>
        </w:rPr>
      </w:pPr>
    </w:p>
    <w:p>
      <w:pPr>
        <w:ind w:right="1099"/>
        <w:spacing w:after="0" w:line="286"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66" w:lineRule="exact"/>
        <w:rPr>
          <w:sz w:val="20"/>
          <w:szCs w:val="20"/>
          <w:color w:val="auto"/>
        </w:rPr>
      </w:pPr>
    </w:p>
    <w:p>
      <w:pPr>
        <w:ind w:right="1039"/>
        <w:spacing w:after="0" w:line="278" w:lineRule="auto"/>
        <w:rPr>
          <w:sz w:val="20"/>
          <w:szCs w:val="20"/>
          <w:color w:val="auto"/>
        </w:rPr>
      </w:pPr>
      <w:r>
        <w:rPr>
          <w:rFonts w:ascii="Arial" w:cs="Arial" w:eastAsia="Arial" w:hAnsi="Arial"/>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37" w:lineRule="exact"/>
        <w:rPr>
          <w:sz w:val="20"/>
          <w:szCs w:val="20"/>
          <w:color w:val="auto"/>
        </w:rPr>
      </w:pPr>
    </w:p>
    <w:p>
      <w:pPr>
        <w:ind w:right="1119"/>
        <w:spacing w:after="0" w:line="24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14">
        <w:r>
          <w:rPr>
            <w:rFonts w:ascii="Arial" w:cs="Arial" w:eastAsia="Arial" w:hAnsi="Arial"/>
            <w:sz w:val="17"/>
            <w:szCs w:val="17"/>
            <w:b w:val="1"/>
            <w:bCs w:val="1"/>
            <w:u w:val="single" w:color="auto"/>
            <w:color w:val="0000EE"/>
          </w:rPr>
          <w:t>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413448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Per share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4"/>
        </w:trPr>
        <w:tc>
          <w:tcPr>
            <w:tcW w:w="20" w:type="dxa"/>
            <w:vAlign w:val="bottom"/>
          </w:tcPr>
          <w:p>
            <w:pPr>
              <w:spacing w:after="0"/>
              <w:rPr>
                <w:sz w:val="18"/>
                <w:szCs w:val="18"/>
                <w:color w:val="auto"/>
              </w:rPr>
            </w:pPr>
          </w:p>
        </w:tc>
        <w:tc>
          <w:tcPr>
            <w:tcW w:w="4860" w:type="dxa"/>
            <w:vAlign w:val="bottom"/>
          </w:tcPr>
          <w:p>
            <w:pPr>
              <w:spacing w:after="0" w:line="214"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0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
        </w:trPr>
        <w:tc>
          <w:tcPr>
            <w:tcW w:w="2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30873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6985"/>
                    </a:xfrm>
                    <a:prstGeom prst="rect">
                      <a:avLst/>
                    </a:prstGeom>
                    <a:noFill/>
                  </pic:spPr>
                </pic:pic>
              </a:graphicData>
            </a:graphic>
          </wp:anchor>
        </w:drawing>
      </w:r>
    </w:p>
    <w:p>
      <w:pPr>
        <w:spacing w:after="0" w:line="119" w:lineRule="exact"/>
        <w:rPr>
          <w:sz w:val="20"/>
          <w:szCs w:val="20"/>
          <w:color w:val="auto"/>
        </w:rPr>
      </w:pPr>
    </w:p>
    <w:p>
      <w:pPr>
        <w:ind w:right="1119" w:firstLine="6"/>
        <w:spacing w:after="0" w:line="248" w:lineRule="auto"/>
        <w:tabs>
          <w:tab w:leader="none" w:pos="171"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See the section titled “Underwriting” beginning on page </w:t>
      </w:r>
      <w:hyperlink w:anchor="page204">
        <w:r>
          <w:rPr>
            <w:rFonts w:ascii="Arial" w:cs="Arial" w:eastAsia="Arial" w:hAnsi="Arial"/>
            <w:sz w:val="11"/>
            <w:szCs w:val="11"/>
            <w:u w:val="single" w:color="auto"/>
            <w:color w:val="0000EE"/>
          </w:rPr>
          <w:t>191</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additional information regarding compensation payable to the underwriters.</w:t>
      </w:r>
    </w:p>
    <w:p>
      <w:pPr>
        <w:spacing w:after="0" w:line="113" w:lineRule="exact"/>
        <w:rPr>
          <w:sz w:val="20"/>
          <w:szCs w:val="20"/>
          <w:color w:val="auto"/>
        </w:rPr>
      </w:pPr>
    </w:p>
    <w:p>
      <w:pPr>
        <w:ind w:right="1139"/>
        <w:spacing w:after="0" w:line="278" w:lineRule="auto"/>
        <w:rPr>
          <w:sz w:val="20"/>
          <w:szCs w:val="20"/>
          <w:color w:val="auto"/>
        </w:rPr>
      </w:pPr>
      <w:r>
        <w:rPr>
          <w:rFonts w:ascii="Arial" w:cs="Arial" w:eastAsia="Arial" w:hAnsi="Arial"/>
          <w:sz w:val="14"/>
          <w:szCs w:val="14"/>
          <w:color w:val="auto"/>
        </w:rPr>
        <w:t>We have granted the underwriters an option for a period of 30 days to purchase up to 1,582,500 additional shares of common stock at the initial public offering price, less the underwriting discounts and commissions.</w:t>
      </w:r>
    </w:p>
    <w:p>
      <w:pPr>
        <w:spacing w:after="0" w:line="105" w:lineRule="exact"/>
        <w:rPr>
          <w:sz w:val="20"/>
          <w:szCs w:val="20"/>
          <w:color w:val="auto"/>
        </w:rPr>
      </w:pPr>
    </w:p>
    <w:p>
      <w:pPr>
        <w:ind w:left="500" w:right="1579" w:hanging="497"/>
        <w:spacing w:after="0" w:line="286" w:lineRule="auto"/>
        <w:rPr>
          <w:sz w:val="20"/>
          <w:szCs w:val="20"/>
          <w:color w:val="auto"/>
        </w:rPr>
      </w:pPr>
      <w:r>
        <w:rPr>
          <w:rFonts w:ascii="Arial" w:cs="Arial" w:eastAsia="Arial" w:hAnsi="Arial"/>
          <w:sz w:val="14"/>
          <w:szCs w:val="14"/>
          <w:color w:val="auto"/>
        </w:rPr>
        <w:t>The underwriters expect to deliver the shares against payment in New York, New York on , 2021.</w:t>
      </w:r>
    </w:p>
    <w:p>
      <w:pPr>
        <w:spacing w:after="0" w:line="48" w:lineRule="exact"/>
        <w:rPr>
          <w:sz w:val="20"/>
          <w:szCs w:val="20"/>
          <w:color w:val="auto"/>
        </w:rPr>
      </w:pPr>
    </w:p>
    <w:p>
      <w:pPr>
        <w:jc w:val="both"/>
        <w:ind w:right="1039"/>
        <w:spacing w:after="0" w:line="292"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909" w:lineRule="exact"/>
        <w:rPr>
          <w:sz w:val="20"/>
          <w:szCs w:val="20"/>
          <w:color w:val="auto"/>
        </w:rPr>
      </w:pPr>
    </w:p>
    <w:p>
      <w:pPr>
        <w:sectPr>
          <w:pgSz w:w="11900" w:h="16838" w:orient="portrait"/>
          <w:cols w:equalWidth="0" w:num="2">
            <w:col w:w="1420" w:space="80"/>
            <w:col w:w="7519"/>
          </w:cols>
          <w:pgMar w:left="1440" w:top="134" w:right="1440" w:bottom="1440" w:gutter="0" w:footer="0" w:header="0"/>
          <w:type w:val="continuous"/>
        </w:sectPr>
      </w:pP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2800" w:type="dxa"/>
            <w:vAlign w:val="bottom"/>
          </w:tcPr>
          <w:p>
            <w:pPr>
              <w:ind w:left="1240"/>
              <w:spacing w:after="0"/>
              <w:rPr>
                <w:sz w:val="20"/>
                <w:szCs w:val="20"/>
                <w:color w:val="auto"/>
              </w:rPr>
            </w:pPr>
            <w:r>
              <w:rPr>
                <w:rFonts w:ascii="Arial" w:cs="Arial" w:eastAsia="Arial" w:hAnsi="Arial"/>
                <w:sz w:val="16"/>
                <w:szCs w:val="16"/>
                <w:color w:val="auto"/>
              </w:rPr>
              <w:t>Prospectus dated</w:t>
            </w:r>
          </w:p>
        </w:tc>
        <w:tc>
          <w:tcPr>
            <w:tcW w:w="5700" w:type="dxa"/>
            <w:vAlign w:val="bottom"/>
          </w:tcPr>
          <w:p>
            <w:pPr>
              <w:jc w:val="right"/>
              <w:ind w:right="4882"/>
              <w:spacing w:after="0"/>
              <w:rPr>
                <w:sz w:val="20"/>
                <w:szCs w:val="20"/>
                <w:color w:val="auto"/>
              </w:rPr>
            </w:pPr>
            <w:r>
              <w:rPr>
                <w:rFonts w:ascii="Arial" w:cs="Arial" w:eastAsia="Arial" w:hAnsi="Arial"/>
                <w:sz w:val="16"/>
                <w:szCs w:val="16"/>
                <w:color w:val="auto"/>
              </w:rPr>
              <w:t>, 2021</w:t>
            </w:r>
          </w:p>
        </w:tc>
      </w:tr>
      <w:tr>
        <w:trPr>
          <w:trHeight w:val="73"/>
        </w:trPr>
        <w:tc>
          <w:tcPr>
            <w:tcW w:w="2800" w:type="dxa"/>
            <w:vAlign w:val="bottom"/>
            <w:tcBorders>
              <w:bottom w:val="single" w:sz="8" w:color="9A9A9A"/>
            </w:tcBorders>
          </w:tcPr>
          <w:p>
            <w:pPr>
              <w:spacing w:after="0"/>
              <w:rPr>
                <w:sz w:val="6"/>
                <w:szCs w:val="6"/>
                <w:color w:val="auto"/>
              </w:rPr>
            </w:pPr>
          </w:p>
        </w:tc>
        <w:tc>
          <w:tcPr>
            <w:tcW w:w="57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196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 cy="3873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-25400</wp:posOffset>
            </wp:positionV>
            <wp:extent cx="196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Table of contents</w:t>
      </w:r>
    </w:p>
    <w:p>
      <w:pPr>
        <w:spacing w:after="0" w:line="127"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83"/>
        </w:trPr>
        <w:tc>
          <w:tcPr>
            <w:tcW w:w="20" w:type="dxa"/>
            <w:vAlign w:val="bottom"/>
            <w:tcBorders>
              <w:bottom w:val="single" w:sz="8" w:color="0000EE"/>
            </w:tcBorders>
          </w:tcPr>
          <w:p>
            <w:pPr>
              <w:spacing w:after="0"/>
              <w:rPr>
                <w:sz w:val="15"/>
                <w:szCs w:val="15"/>
                <w:color w:val="auto"/>
              </w:rPr>
            </w:pPr>
          </w:p>
        </w:tc>
        <w:tc>
          <w:tcPr>
            <w:tcW w:w="1460" w:type="dxa"/>
            <w:vAlign w:val="bottom"/>
            <w:tcBorders>
              <w:bottom w:val="single" w:sz="8" w:color="0000EE"/>
              <w:right w:val="single" w:sz="8" w:color="CCEEFF"/>
            </w:tcBorders>
            <w:gridSpan w:val="7"/>
            <w:shd w:val="clear" w:color="auto" w:fill="CCEEFF"/>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Prospectus summary</w:t>
              </w:r>
            </w:hyperlink>
          </w:p>
        </w:tc>
        <w:tc>
          <w:tcPr>
            <w:tcW w:w="4240" w:type="dxa"/>
            <w:vAlign w:val="bottom"/>
            <w:tcBorders>
              <w:bottom w:val="single" w:sz="8" w:color="CCEEFF"/>
            </w:tcBorders>
            <w:gridSpan w:val="8"/>
            <w:shd w:val="clear" w:color="auto" w:fill="CCEEFF"/>
          </w:tcPr>
          <w:p>
            <w:pPr>
              <w:spacing w:after="0"/>
              <w:rPr>
                <w:sz w:val="15"/>
                <w:szCs w:val="15"/>
                <w:color w:val="auto"/>
              </w:rPr>
            </w:pPr>
          </w:p>
        </w:tc>
        <w:tc>
          <w:tcPr>
            <w:tcW w:w="6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w:t>
              </w:r>
            </w:hyperlink>
          </w:p>
        </w:tc>
      </w:tr>
      <w:tr>
        <w:trPr>
          <w:trHeight w:val="182"/>
        </w:trPr>
        <w:tc>
          <w:tcPr>
            <w:tcW w:w="800" w:type="dxa"/>
            <w:vAlign w:val="bottom"/>
            <w:gridSpan w:val="4"/>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The offering</w:t>
              </w:r>
            </w:hyperlink>
          </w:p>
        </w:tc>
        <w:tc>
          <w:tcPr>
            <w:tcW w:w="492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gridSpan w:val="2"/>
          </w:tcPr>
          <w:p>
            <w:pPr>
              <w:jc w:val="right"/>
              <w:spacing w:after="0"/>
              <w:rPr>
                <w:rFonts w:ascii="Arial" w:cs="Arial" w:eastAsia="Arial" w:hAnsi="Arial"/>
                <w:sz w:val="14"/>
                <w:szCs w:val="14"/>
                <w:color w:val="0000EE"/>
                <w:w w:val="85"/>
              </w:rPr>
            </w:pPr>
            <w:hyperlink w:anchor="page10">
              <w:r>
                <w:rPr>
                  <w:rFonts w:ascii="Arial" w:cs="Arial" w:eastAsia="Arial" w:hAnsi="Arial"/>
                  <w:sz w:val="14"/>
                  <w:szCs w:val="14"/>
                  <w:color w:val="0000EE"/>
                  <w:w w:val="85"/>
                </w:rPr>
                <w:t>viii</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Summary consolidated financial data</w:t>
              </w:r>
            </w:hyperlink>
          </w:p>
        </w:tc>
        <w:tc>
          <w:tcPr>
            <w:tcW w:w="6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rFonts w:ascii="Arial" w:cs="Arial" w:eastAsia="Arial" w:hAnsi="Arial"/>
                <w:sz w:val="14"/>
                <w:szCs w:val="14"/>
                <w:color w:val="0000EE"/>
                <w:w w:val="84"/>
              </w:rPr>
            </w:pPr>
            <w:hyperlink w:anchor="page12">
              <w:r>
                <w:rPr>
                  <w:rFonts w:ascii="Arial" w:cs="Arial" w:eastAsia="Arial" w:hAnsi="Arial"/>
                  <w:sz w:val="14"/>
                  <w:szCs w:val="14"/>
                  <w:color w:val="0000EE"/>
                  <w:w w:val="84"/>
                </w:rPr>
                <w:t>x</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00" w:type="dxa"/>
            <w:vAlign w:val="bottom"/>
            <w:gridSpan w:val="4"/>
          </w:tcPr>
          <w:p>
            <w:pPr>
              <w:spacing w:after="0"/>
              <w:rPr>
                <w:rFonts w:ascii="Arial" w:cs="Arial" w:eastAsia="Arial" w:hAnsi="Arial"/>
                <w:sz w:val="14"/>
                <w:szCs w:val="14"/>
                <w:color w:val="0000EE"/>
              </w:rPr>
            </w:pPr>
            <w:hyperlink w:anchor="page14">
              <w:r>
                <w:rPr>
                  <w:rFonts w:ascii="Arial" w:cs="Arial" w:eastAsia="Arial" w:hAnsi="Arial"/>
                  <w:sz w:val="14"/>
                  <w:szCs w:val="14"/>
                  <w:color w:val="0000EE"/>
                </w:rPr>
                <w:t>Risk factors</w:t>
              </w:r>
            </w:hyperlink>
          </w:p>
        </w:tc>
        <w:tc>
          <w:tcPr>
            <w:tcW w:w="1660" w:type="dxa"/>
            <w:vAlign w:val="bottom"/>
            <w:gridSpan w:val="8"/>
          </w:tcPr>
          <w:p>
            <w:pPr>
              <w:spacing w:after="0"/>
              <w:rPr>
                <w:sz w:val="15"/>
                <w:szCs w:val="15"/>
                <w:color w:val="auto"/>
              </w:rPr>
            </w:pPr>
          </w:p>
        </w:tc>
        <w:tc>
          <w:tcPr>
            <w:tcW w:w="3260" w:type="dxa"/>
            <w:vAlign w:val="bottom"/>
            <w:gridSpan w:val="4"/>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4">
              <w:r>
                <w:rPr>
                  <w:rFonts w:ascii="Arial" w:cs="Arial" w:eastAsia="Arial" w:hAnsi="Arial"/>
                  <w:sz w:val="14"/>
                  <w:szCs w:val="14"/>
                  <w:color w:val="0000EE"/>
                </w:rPr>
                <w:t>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Special note regarding forward-looking statements</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1">
              <w:r>
                <w:rPr>
                  <w:rFonts w:ascii="Arial" w:cs="Arial" w:eastAsia="Arial" w:hAnsi="Arial"/>
                  <w:sz w:val="14"/>
                  <w:szCs w:val="14"/>
                  <w:color w:val="0000EE"/>
                </w:rPr>
                <w:t>58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Market and industry data</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3">
              <w:r>
                <w:rPr>
                  <w:rFonts w:ascii="Arial" w:cs="Arial" w:eastAsia="Arial" w:hAnsi="Arial"/>
                  <w:sz w:val="14"/>
                  <w:szCs w:val="14"/>
                  <w:color w:val="0000EE"/>
                </w:rPr>
                <w:t>60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gridSpan w:val="6"/>
            <w:shd w:val="clear" w:color="auto" w:fill="CCEEFF"/>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Use of proceeds</w:t>
              </w:r>
            </w:hyperlink>
          </w:p>
        </w:tc>
        <w:tc>
          <w:tcPr>
            <w:tcW w:w="560" w:type="dxa"/>
            <w:vAlign w:val="bottom"/>
            <w:tcBorders>
              <w:right w:val="single" w:sz="8" w:color="CCEEFF"/>
            </w:tcBorders>
            <w:gridSpan w:val="2"/>
            <w:shd w:val="clear" w:color="auto" w:fill="CCEEFF"/>
          </w:tcPr>
          <w:p>
            <w:pPr>
              <w:spacing w:after="0"/>
              <w:rPr>
                <w:sz w:val="15"/>
                <w:szCs w:val="15"/>
                <w:color w:val="auto"/>
              </w:rPr>
            </w:pPr>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61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1020" w:type="dxa"/>
            <w:vAlign w:val="bottom"/>
            <w:gridSpan w:val="6"/>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Dividend policy</w:t>
              </w:r>
            </w:hyperlink>
          </w:p>
        </w:tc>
        <w:tc>
          <w:tcPr>
            <w:tcW w:w="80" w:type="dxa"/>
            <w:vAlign w:val="bottom"/>
          </w:tcPr>
          <w:p>
            <w:pPr>
              <w:spacing w:after="0"/>
              <w:rPr>
                <w:sz w:val="15"/>
                <w:szCs w:val="15"/>
                <w:color w:val="auto"/>
              </w:rPr>
            </w:pPr>
          </w:p>
        </w:tc>
        <w:tc>
          <w:tcPr>
            <w:tcW w:w="4620" w:type="dxa"/>
            <w:vAlign w:val="bottom"/>
            <w:gridSpan w:val="9"/>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6">
              <w:r>
                <w:rPr>
                  <w:rFonts w:ascii="Arial" w:cs="Arial" w:eastAsia="Arial" w:hAnsi="Arial"/>
                  <w:sz w:val="14"/>
                  <w:szCs w:val="14"/>
                  <w:color w:val="0000EE"/>
                </w:rPr>
                <w:t>63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gridSpan w:val="4"/>
            <w:shd w:val="clear" w:color="auto" w:fill="CCEEFF"/>
          </w:tcPr>
          <w:p>
            <w:pPr>
              <w:spacing w:after="0"/>
              <w:rPr>
                <w:rFonts w:ascii="Arial" w:cs="Arial" w:eastAsia="Arial" w:hAnsi="Arial"/>
                <w:sz w:val="14"/>
                <w:szCs w:val="14"/>
                <w:color w:val="0000EE"/>
                <w:w w:val="97"/>
              </w:rPr>
            </w:pPr>
            <w:hyperlink w:anchor="page77">
              <w:r>
                <w:rPr>
                  <w:rFonts w:ascii="Arial" w:cs="Arial" w:eastAsia="Arial" w:hAnsi="Arial"/>
                  <w:sz w:val="14"/>
                  <w:szCs w:val="14"/>
                  <w:color w:val="0000EE"/>
                  <w:w w:val="97"/>
                </w:rPr>
                <w:t>Capitalization</w:t>
              </w:r>
            </w:hyperlink>
          </w:p>
        </w:tc>
        <w:tc>
          <w:tcPr>
            <w:tcW w:w="140" w:type="dxa"/>
            <w:vAlign w:val="bottom"/>
            <w:tcBorders>
              <w:left w:val="single" w:sz="8" w:color="CCEEFF"/>
            </w:tcBorders>
            <w:shd w:val="clear" w:color="auto" w:fill="CCEEFF"/>
          </w:tcPr>
          <w:p>
            <w:pPr>
              <w:spacing w:after="0"/>
              <w:rPr>
                <w:sz w:val="15"/>
                <w:szCs w:val="15"/>
                <w:color w:val="auto"/>
              </w:rPr>
            </w:pPr>
          </w:p>
        </w:tc>
        <w:tc>
          <w:tcPr>
            <w:tcW w:w="4700" w:type="dxa"/>
            <w:vAlign w:val="bottom"/>
            <w:gridSpan w:val="10"/>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64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20" w:type="dxa"/>
            <w:vAlign w:val="bottom"/>
            <w:gridSpan w:val="2"/>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Dilution</w:t>
              </w:r>
            </w:hyperlink>
          </w:p>
        </w:tc>
        <w:tc>
          <w:tcPr>
            <w:tcW w:w="360" w:type="dxa"/>
            <w:vAlign w:val="bottom"/>
            <w:gridSpan w:val="3"/>
          </w:tcPr>
          <w:p>
            <w:pPr>
              <w:spacing w:after="0"/>
              <w:rPr>
                <w:sz w:val="15"/>
                <w:szCs w:val="15"/>
                <w:color w:val="auto"/>
              </w:rPr>
            </w:pPr>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9">
              <w:r>
                <w:rPr>
                  <w:rFonts w:ascii="Arial" w:cs="Arial" w:eastAsia="Arial" w:hAnsi="Arial"/>
                  <w:sz w:val="14"/>
                  <w:szCs w:val="14"/>
                  <w:color w:val="0000EE"/>
                </w:rPr>
                <w:t>66</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Borders>
              <w:right w:val="single" w:sz="8" w:color="CCEEFF"/>
            </w:tcBorders>
            <w:gridSpan w:val="11"/>
            <w:shd w:val="clear" w:color="auto" w:fill="CCEEFF"/>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Selected consolidated financial data</w:t>
              </w:r>
            </w:hyperlink>
          </w:p>
        </w:tc>
        <w:tc>
          <w:tcPr>
            <w:tcW w:w="3260" w:type="dxa"/>
            <w:vAlign w:val="bottom"/>
            <w:gridSpan w:val="4"/>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81">
              <w:r>
                <w:rPr>
                  <w:rFonts w:ascii="Arial" w:cs="Arial" w:eastAsia="Arial" w:hAnsi="Arial"/>
                  <w:sz w:val="14"/>
                  <w:szCs w:val="14"/>
                  <w:color w:val="0000EE"/>
                </w:rPr>
                <w:t>68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720" w:type="dxa"/>
            <w:vAlign w:val="bottom"/>
            <w:gridSpan w:val="16"/>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4"/>
                <w:szCs w:val="14"/>
                <w:color w:val="0000EE"/>
              </w:rPr>
            </w:pPr>
            <w:hyperlink w:anchor="page83">
              <w:r>
                <w:rPr>
                  <w:rFonts w:ascii="Arial" w:cs="Arial" w:eastAsia="Arial" w:hAnsi="Arial"/>
                  <w:sz w:val="14"/>
                  <w:szCs w:val="14"/>
                  <w:color w:val="0000EE"/>
                </w:rPr>
                <w:t>70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gridSpan w:val="2"/>
            <w:shd w:val="clear" w:color="auto" w:fill="CCEEFF"/>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Business</w:t>
              </w:r>
            </w:hyperlink>
          </w:p>
        </w:tc>
        <w:tc>
          <w:tcPr>
            <w:tcW w:w="5100" w:type="dxa"/>
            <w:vAlign w:val="bottom"/>
            <w:gridSpan w:val="13"/>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01">
              <w:r>
                <w:rPr>
                  <w:rFonts w:ascii="Arial" w:cs="Arial" w:eastAsia="Arial" w:hAnsi="Arial"/>
                  <w:sz w:val="14"/>
                  <w:szCs w:val="14"/>
                  <w:color w:val="0000EE"/>
                </w:rPr>
                <w:t>88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80" w:type="dxa"/>
            <w:vAlign w:val="bottom"/>
            <w:gridSpan w:val="5"/>
          </w:tcPr>
          <w:p>
            <w:pPr>
              <w:spacing w:after="0"/>
              <w:rPr>
                <w:rFonts w:ascii="Arial" w:cs="Arial" w:eastAsia="Arial" w:hAnsi="Arial"/>
                <w:sz w:val="14"/>
                <w:szCs w:val="14"/>
                <w:color w:val="0000EE"/>
              </w:rPr>
            </w:pPr>
            <w:hyperlink w:anchor="page164">
              <w:r>
                <w:rPr>
                  <w:rFonts w:ascii="Arial" w:cs="Arial" w:eastAsia="Arial" w:hAnsi="Arial"/>
                  <w:sz w:val="14"/>
                  <w:szCs w:val="14"/>
                  <w:color w:val="0000EE"/>
                </w:rPr>
                <w:t>Management</w:t>
              </w:r>
            </w:hyperlink>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64">
              <w:r>
                <w:rPr>
                  <w:rFonts w:ascii="Arial" w:cs="Arial" w:eastAsia="Arial" w:hAnsi="Arial"/>
                  <w:sz w:val="14"/>
                  <w:szCs w:val="14"/>
                  <w:color w:val="0000EE"/>
                </w:rPr>
                <w:t>151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176">
              <w:r>
                <w:rPr>
                  <w:rFonts w:ascii="Arial" w:cs="Arial" w:eastAsia="Arial" w:hAnsi="Arial"/>
                  <w:sz w:val="14"/>
                  <w:szCs w:val="14"/>
                  <w:color w:val="0000EE"/>
                </w:rPr>
                <w:t>Executive compensation</w:t>
              </w:r>
            </w:hyperlink>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76">
              <w:r>
                <w:rPr>
                  <w:rFonts w:ascii="Arial" w:cs="Arial" w:eastAsia="Arial" w:hAnsi="Arial"/>
                  <w:sz w:val="14"/>
                  <w:szCs w:val="14"/>
                  <w:color w:val="0000EE"/>
                </w:rPr>
                <w:t>163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187">
              <w:r>
                <w:rPr>
                  <w:rFonts w:ascii="Arial" w:cs="Arial" w:eastAsia="Arial" w:hAnsi="Arial"/>
                  <w:sz w:val="14"/>
                  <w:szCs w:val="14"/>
                  <w:color w:val="0000EE"/>
                </w:rPr>
                <w:t>Certain relationships and related party transactions</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7">
              <w:r>
                <w:rPr>
                  <w:rFonts w:ascii="Arial" w:cs="Arial" w:eastAsia="Arial" w:hAnsi="Arial"/>
                  <w:sz w:val="14"/>
                  <w:szCs w:val="14"/>
                  <w:color w:val="0000EE"/>
                </w:rPr>
                <w:t>174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right w:val="single" w:sz="8" w:color="CCEEFF"/>
            </w:tcBorders>
            <w:gridSpan w:val="7"/>
            <w:shd w:val="clear" w:color="auto" w:fill="CCEEFF"/>
          </w:tcPr>
          <w:p>
            <w:pPr>
              <w:spacing w:after="0"/>
              <w:rPr>
                <w:rFonts w:ascii="Arial" w:cs="Arial" w:eastAsia="Arial" w:hAnsi="Arial"/>
                <w:sz w:val="14"/>
                <w:szCs w:val="14"/>
                <w:color w:val="0000EE"/>
              </w:rPr>
            </w:pPr>
            <w:hyperlink w:anchor="page190">
              <w:r>
                <w:rPr>
                  <w:rFonts w:ascii="Arial" w:cs="Arial" w:eastAsia="Arial" w:hAnsi="Arial"/>
                  <w:sz w:val="14"/>
                  <w:szCs w:val="14"/>
                  <w:color w:val="0000EE"/>
                </w:rPr>
                <w:t>Principal stockholders</w:t>
              </w:r>
            </w:hyperlink>
          </w:p>
        </w:tc>
        <w:tc>
          <w:tcPr>
            <w:tcW w:w="1940" w:type="dxa"/>
            <w:vAlign w:val="bottom"/>
            <w:tcBorders>
              <w:right w:val="single" w:sz="8" w:color="CCEEFF"/>
            </w:tcBorders>
            <w:gridSpan w:val="6"/>
            <w:shd w:val="clear" w:color="auto" w:fill="CCEEFF"/>
          </w:tcPr>
          <w:p>
            <w:pPr>
              <w:spacing w:after="0"/>
              <w:rPr>
                <w:sz w:val="16"/>
                <w:szCs w:val="16"/>
                <w:color w:val="auto"/>
              </w:rPr>
            </w:pPr>
          </w:p>
        </w:tc>
        <w:tc>
          <w:tcPr>
            <w:tcW w:w="2300" w:type="dxa"/>
            <w:vAlign w:val="bottom"/>
            <w:gridSpan w:val="2"/>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0">
              <w:r>
                <w:rPr>
                  <w:rFonts w:ascii="Arial" w:cs="Arial" w:eastAsia="Arial" w:hAnsi="Arial"/>
                  <w:sz w:val="14"/>
                  <w:szCs w:val="14"/>
                  <w:color w:val="0000EE"/>
                </w:rPr>
                <w:t>177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192">
              <w:r>
                <w:rPr>
                  <w:rFonts w:ascii="Arial" w:cs="Arial" w:eastAsia="Arial" w:hAnsi="Arial"/>
                  <w:sz w:val="14"/>
                  <w:szCs w:val="14"/>
                  <w:color w:val="0000EE"/>
                </w:rPr>
                <w:t>Description of capital stock</w:t>
              </w:r>
            </w:hyperlink>
          </w:p>
        </w:tc>
        <w:tc>
          <w:tcPr>
            <w:tcW w:w="800" w:type="dxa"/>
            <w:vAlign w:val="bottom"/>
            <w:gridSpan w:val="3"/>
          </w:tcPr>
          <w:p>
            <w:pPr>
              <w:jc w:val="right"/>
              <w:spacing w:after="0"/>
              <w:rPr>
                <w:rFonts w:ascii="Arial" w:cs="Arial" w:eastAsia="Arial" w:hAnsi="Arial"/>
                <w:sz w:val="14"/>
                <w:szCs w:val="14"/>
                <w:color w:val="0000EE"/>
              </w:rPr>
            </w:pPr>
            <w:hyperlink w:anchor="page192">
              <w:r>
                <w:rPr>
                  <w:rFonts w:ascii="Arial" w:cs="Arial" w:eastAsia="Arial" w:hAnsi="Arial"/>
                  <w:sz w:val="14"/>
                  <w:szCs w:val="14"/>
                  <w:color w:val="0000EE"/>
                </w:rPr>
                <w:t>179</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97">
              <w:r>
                <w:rPr>
                  <w:rFonts w:ascii="Arial" w:cs="Arial" w:eastAsia="Arial" w:hAnsi="Arial"/>
                  <w:sz w:val="14"/>
                  <w:szCs w:val="14"/>
                  <w:color w:val="0000EE"/>
                </w:rPr>
                <w:t>Shares eligible for future sale</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7">
              <w:r>
                <w:rPr>
                  <w:rFonts w:ascii="Arial" w:cs="Arial" w:eastAsia="Arial" w:hAnsi="Arial"/>
                  <w:sz w:val="14"/>
                  <w:szCs w:val="14"/>
                  <w:color w:val="0000EE"/>
                </w:rPr>
                <w:t>184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200">
              <w:r>
                <w:rPr>
                  <w:rFonts w:ascii="Arial" w:cs="Arial" w:eastAsia="Arial" w:hAnsi="Arial"/>
                  <w:sz w:val="14"/>
                  <w:szCs w:val="14"/>
                  <w:color w:val="0000EE"/>
                </w:rPr>
                <w:t>Material U.S. federal income tax consequences to Non-U.S. Holders</w:t>
              </w:r>
            </w:hyperlink>
          </w:p>
        </w:tc>
        <w:tc>
          <w:tcPr>
            <w:tcW w:w="800" w:type="dxa"/>
            <w:vAlign w:val="bottom"/>
            <w:gridSpan w:val="3"/>
          </w:tcPr>
          <w:p>
            <w:pPr>
              <w:jc w:val="right"/>
              <w:spacing w:after="0"/>
              <w:rPr>
                <w:rFonts w:ascii="Arial" w:cs="Arial" w:eastAsia="Arial" w:hAnsi="Arial"/>
                <w:sz w:val="14"/>
                <w:szCs w:val="14"/>
                <w:color w:val="0000EE"/>
              </w:rPr>
            </w:pPr>
            <w:hyperlink w:anchor="page200">
              <w:r>
                <w:rPr>
                  <w:rFonts w:ascii="Arial" w:cs="Arial" w:eastAsia="Arial" w:hAnsi="Arial"/>
                  <w:sz w:val="14"/>
                  <w:szCs w:val="14"/>
                  <w:color w:val="0000EE"/>
                </w:rPr>
                <w:t>187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80" w:type="dxa"/>
            <w:vAlign w:val="bottom"/>
            <w:gridSpan w:val="3"/>
            <w:shd w:val="clear" w:color="auto" w:fill="CCEEFF"/>
          </w:tcPr>
          <w:p>
            <w:pPr>
              <w:spacing w:after="0"/>
              <w:rPr>
                <w:rFonts w:ascii="Arial" w:cs="Arial" w:eastAsia="Arial" w:hAnsi="Arial"/>
                <w:sz w:val="14"/>
                <w:szCs w:val="14"/>
                <w:color w:val="0000EE"/>
                <w:w w:val="94"/>
              </w:rPr>
            </w:pPr>
            <w:hyperlink w:anchor="page204">
              <w:r>
                <w:rPr>
                  <w:rFonts w:ascii="Arial" w:cs="Arial" w:eastAsia="Arial" w:hAnsi="Arial"/>
                  <w:sz w:val="14"/>
                  <w:szCs w:val="14"/>
                  <w:color w:val="0000EE"/>
                  <w:w w:val="94"/>
                </w:rPr>
                <w:t>Underwriting</w:t>
              </w:r>
            </w:hyperlink>
          </w:p>
        </w:tc>
        <w:tc>
          <w:tcPr>
            <w:tcW w:w="3740" w:type="dxa"/>
            <w:vAlign w:val="bottom"/>
            <w:tcBorders>
              <w:left w:val="single" w:sz="8" w:color="CCEEFF"/>
            </w:tcBorders>
            <w:gridSpan w:val="11"/>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04">
              <w:r>
                <w:rPr>
                  <w:rFonts w:ascii="Arial" w:cs="Arial" w:eastAsia="Arial" w:hAnsi="Arial"/>
                  <w:sz w:val="14"/>
                  <w:szCs w:val="14"/>
                  <w:color w:val="0000EE"/>
                </w:rPr>
                <w:t>191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880" w:type="dxa"/>
            <w:vAlign w:val="bottom"/>
            <w:gridSpan w:val="5"/>
          </w:tcPr>
          <w:p>
            <w:pPr>
              <w:spacing w:after="0"/>
              <w:rPr>
                <w:rFonts w:ascii="Arial" w:cs="Arial" w:eastAsia="Arial" w:hAnsi="Arial"/>
                <w:sz w:val="14"/>
                <w:szCs w:val="14"/>
                <w:color w:val="0000EE"/>
                <w:w w:val="98"/>
              </w:rPr>
            </w:pPr>
            <w:hyperlink w:anchor="page215">
              <w:r>
                <w:rPr>
                  <w:rFonts w:ascii="Arial" w:cs="Arial" w:eastAsia="Arial" w:hAnsi="Arial"/>
                  <w:sz w:val="14"/>
                  <w:szCs w:val="14"/>
                  <w:color w:val="0000EE"/>
                  <w:w w:val="98"/>
                </w:rPr>
                <w:t>Legal matters</w:t>
              </w:r>
            </w:hyperlink>
          </w:p>
        </w:tc>
        <w:tc>
          <w:tcPr>
            <w:tcW w:w="4840" w:type="dxa"/>
            <w:vAlign w:val="bottom"/>
            <w:gridSpan w:val="11"/>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5">
              <w:r>
                <w:rPr>
                  <w:rFonts w:ascii="Arial" w:cs="Arial" w:eastAsia="Arial" w:hAnsi="Arial"/>
                  <w:sz w:val="14"/>
                  <w:szCs w:val="14"/>
                  <w:color w:val="0000EE"/>
                </w:rPr>
                <w:t>202</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00" w:type="dxa"/>
            <w:vAlign w:val="bottom"/>
            <w:shd w:val="clear" w:color="auto" w:fill="CCEEFF"/>
          </w:tcPr>
          <w:p>
            <w:pPr>
              <w:spacing w:after="0"/>
              <w:rPr>
                <w:rFonts w:ascii="Arial" w:cs="Arial" w:eastAsia="Arial" w:hAnsi="Arial"/>
                <w:sz w:val="14"/>
                <w:szCs w:val="14"/>
                <w:color w:val="0000EE"/>
              </w:rPr>
            </w:pPr>
            <w:hyperlink w:anchor="page216">
              <w:r>
                <w:rPr>
                  <w:rFonts w:ascii="Arial" w:cs="Arial" w:eastAsia="Arial" w:hAnsi="Arial"/>
                  <w:sz w:val="14"/>
                  <w:szCs w:val="14"/>
                  <w:color w:val="0000EE"/>
                </w:rPr>
                <w:t>Experts</w:t>
              </w:r>
            </w:hyperlink>
          </w:p>
        </w:tc>
        <w:tc>
          <w:tcPr>
            <w:tcW w:w="360" w:type="dxa"/>
            <w:vAlign w:val="bottom"/>
            <w:gridSpan w:val="3"/>
            <w:shd w:val="clear" w:color="auto" w:fill="CCEEFF"/>
          </w:tcPr>
          <w:p>
            <w:pPr>
              <w:spacing w:after="0"/>
              <w:rPr>
                <w:sz w:val="16"/>
                <w:szCs w:val="16"/>
                <w:color w:val="auto"/>
              </w:rPr>
            </w:pPr>
          </w:p>
        </w:tc>
        <w:tc>
          <w:tcPr>
            <w:tcW w:w="4840" w:type="dxa"/>
            <w:vAlign w:val="bottom"/>
            <w:tcBorders>
              <w:left w:val="single" w:sz="8" w:color="CCEEFF"/>
            </w:tcBorders>
            <w:gridSpan w:val="11"/>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16">
              <w:r>
                <w:rPr>
                  <w:rFonts w:ascii="Arial" w:cs="Arial" w:eastAsia="Arial" w:hAnsi="Arial"/>
                  <w:sz w:val="14"/>
                  <w:szCs w:val="14"/>
                  <w:color w:val="0000EE"/>
                </w:rPr>
                <w:t>203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780" w:type="dxa"/>
            <w:vAlign w:val="bottom"/>
            <w:gridSpan w:val="13"/>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Where you can find additional information</w:t>
              </w:r>
            </w:hyperlink>
          </w:p>
        </w:tc>
        <w:tc>
          <w:tcPr>
            <w:tcW w:w="2940" w:type="dxa"/>
            <w:vAlign w:val="bottom"/>
            <w:gridSpan w:val="3"/>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7">
              <w:r>
                <w:rPr>
                  <w:rFonts w:ascii="Arial" w:cs="Arial" w:eastAsia="Arial" w:hAnsi="Arial"/>
                  <w:sz w:val="14"/>
                  <w:szCs w:val="14"/>
                  <w:color w:val="0000EE"/>
                </w:rPr>
                <w:t>204</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218">
              <w:r>
                <w:rPr>
                  <w:rFonts w:ascii="Arial" w:cs="Arial" w:eastAsia="Arial" w:hAnsi="Arial"/>
                  <w:sz w:val="14"/>
                  <w:szCs w:val="14"/>
                  <w:color w:val="0000EE"/>
                </w:rPr>
                <w:t>Index to consolidated financial statements</w:t>
              </w:r>
            </w:hyperlink>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rFonts w:ascii="Arial" w:cs="Arial" w:eastAsia="Arial" w:hAnsi="Arial"/>
                <w:sz w:val="13"/>
                <w:szCs w:val="13"/>
                <w:color w:val="0000EE"/>
                <w:w w:val="71"/>
              </w:rPr>
            </w:pPr>
            <w:hyperlink w:anchor="page218">
              <w:r>
                <w:rPr>
                  <w:rFonts w:ascii="Arial" w:cs="Arial" w:eastAsia="Arial" w:hAnsi="Arial"/>
                  <w:sz w:val="13"/>
                  <w:szCs w:val="13"/>
                  <w:color w:val="0000EE"/>
                  <w:w w:val="71"/>
                </w:rPr>
                <w:t>F-1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0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6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0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450215</wp:posOffset>
            </wp:positionV>
            <wp:extent cx="541782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42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71975" cy="69424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Prospectus summary</w:t>
      </w:r>
    </w:p>
    <w:p>
      <w:pPr>
        <w:spacing w:after="0" w:line="116"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Overview</w:t>
      </w:r>
    </w:p>
    <w:p>
      <w:pPr>
        <w:spacing w:after="0" w:line="140" w:lineRule="exact"/>
        <w:rPr>
          <w:sz w:val="20"/>
          <w:szCs w:val="20"/>
          <w:color w:val="auto"/>
        </w:rPr>
      </w:pPr>
    </w:p>
    <w:p>
      <w:pPr>
        <w:ind w:left="1260" w:right="1259"/>
        <w:spacing w:after="0" w:line="265"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88" w:lineRule="exact"/>
        <w:rPr>
          <w:sz w:val="20"/>
          <w:szCs w:val="20"/>
          <w:color w:val="auto"/>
        </w:rPr>
      </w:pPr>
    </w:p>
    <w:p>
      <w:pPr>
        <w:ind w:left="1260" w:right="1299"/>
        <w:spacing w:after="0" w:line="272"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The key elements of our approach include:</w:t>
      </w:r>
    </w:p>
    <w:p>
      <w:pPr>
        <w:spacing w:after="0" w:line="121" w:lineRule="exact"/>
        <w:rPr>
          <w:sz w:val="20"/>
          <w:szCs w:val="20"/>
          <w:color w:val="auto"/>
        </w:rPr>
      </w:pPr>
    </w:p>
    <w:p>
      <w:pPr>
        <w:ind w:left="1260" w:right="1379"/>
        <w:spacing w:after="0" w:line="292" w:lineRule="auto"/>
        <w:rPr>
          <w:sz w:val="20"/>
          <w:szCs w:val="20"/>
          <w:color w:val="auto"/>
        </w:rPr>
      </w:pPr>
      <w:r>
        <w:rPr>
          <w:rFonts w:ascii="Arial" w:cs="Arial" w:eastAsia="Arial" w:hAnsi="Arial"/>
          <w:sz w:val="14"/>
          <w:szCs w:val="14"/>
          <w:b w:val="1"/>
          <w:bCs w:val="1"/>
          <w:color w:val="auto"/>
        </w:rPr>
        <w:t xml:space="preserve">Our efficient precision gene editing technology: </w:t>
      </w:r>
      <w:r>
        <w:rPr>
          <w:rFonts w:ascii="Arial" w:cs="Arial" w:eastAsia="Arial" w:hAnsi="Arial"/>
          <w:sz w:val="14"/>
          <w:szCs w:val="14"/>
          <w:color w:val="auto"/>
        </w:rPr>
        <w:t>We have developed highly efficient gene</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processes to generate our product candidates. Our first product candidate will have six CRISPR-mediated homologous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03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71975" cy="70034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60" w:right="1359"/>
        <w:spacing w:after="0" w:line="257" w:lineRule="auto"/>
        <w:rPr>
          <w:sz w:val="20"/>
          <w:szCs w:val="20"/>
          <w:color w:val="auto"/>
        </w:rPr>
      </w:pPr>
      <w:r>
        <w:rPr>
          <w:rFonts w:ascii="Arial" w:cs="Arial" w:eastAsia="Arial" w:hAnsi="Arial"/>
          <w:sz w:val="14"/>
          <w:szCs w:val="14"/>
          <w:color w:val="auto"/>
        </w:rPr>
        <w:t>recombination and repair edits, and we plan to incorporate additional edits in our future product candidates. We are currently using the CRISPR-MAD7 nuclease to enable precise cutting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64" w:lineRule="exact"/>
        <w:rPr>
          <w:sz w:val="20"/>
          <w:szCs w:val="20"/>
          <w:color w:val="auto"/>
        </w:rPr>
      </w:pPr>
    </w:p>
    <w:p>
      <w:pPr>
        <w:ind w:left="1260" w:right="1339"/>
        <w:spacing w:after="0" w:line="246" w:lineRule="auto"/>
        <w:rPr>
          <w:sz w:val="20"/>
          <w:szCs w:val="20"/>
          <w:color w:val="auto"/>
        </w:rPr>
      </w:pPr>
      <w:r>
        <w:rPr>
          <w:rFonts w:ascii="Arial" w:cs="Arial" w:eastAsia="Arial" w:hAnsi="Arial"/>
          <w:sz w:val="14"/>
          <w:szCs w:val="14"/>
          <w:b w:val="1"/>
          <w:bCs w:val="1"/>
          <w:color w:val="auto"/>
        </w:rPr>
        <w:t>Our proprietary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w:t>
      </w:r>
      <w:r>
        <w:rPr>
          <w:rFonts w:ascii="Arial" w:cs="Arial" w:eastAsia="Arial" w:hAnsi="Arial"/>
          <w:sz w:val="14"/>
          <w:szCs w:val="14"/>
          <w:color w:val="auto"/>
        </w:rPr>
        <w:t>: We are leveraging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99" w:lineRule="exact"/>
        <w:rPr>
          <w:sz w:val="20"/>
          <w:szCs w:val="20"/>
          <w:color w:val="auto"/>
        </w:rPr>
      </w:pPr>
    </w:p>
    <w:p>
      <w:pPr>
        <w:ind w:left="1260" w:right="1259"/>
        <w:spacing w:after="0" w:line="260" w:lineRule="auto"/>
        <w:rPr>
          <w:sz w:val="20"/>
          <w:szCs w:val="20"/>
          <w:color w:val="auto"/>
        </w:rPr>
      </w:pPr>
      <w:r>
        <w:rPr>
          <w:rFonts w:ascii="Arial" w:cs="Arial" w:eastAsia="Arial" w:hAnsi="Arial"/>
          <w:sz w:val="14"/>
          <w:szCs w:val="14"/>
          <w:b w:val="1"/>
          <w:bCs w:val="1"/>
          <w:color w:val="auto"/>
        </w:rPr>
        <w:t>CAR and protein engineering</w:t>
      </w:r>
      <w:r>
        <w:rPr>
          <w:rFonts w:ascii="Arial" w:cs="Arial" w:eastAsia="Arial" w:hAnsi="Arial"/>
          <w:sz w:val="14"/>
          <w:szCs w:val="14"/>
          <w:color w:val="auto"/>
        </w:rPr>
        <w:t>: CAR design is a critical component of innovative cell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90" w:lineRule="exact"/>
        <w:rPr>
          <w:sz w:val="20"/>
          <w:szCs w:val="20"/>
          <w:color w:val="auto"/>
        </w:rPr>
      </w:pPr>
    </w:p>
    <w:p>
      <w:pPr>
        <w:ind w:left="1260" w:right="1259"/>
        <w:spacing w:after="0" w:line="261" w:lineRule="auto"/>
        <w:rPr>
          <w:sz w:val="20"/>
          <w:szCs w:val="20"/>
          <w:color w:val="auto"/>
        </w:rPr>
      </w:pPr>
      <w:r>
        <w:rPr>
          <w:rFonts w:ascii="Arial" w:cs="Arial" w:eastAsia="Arial" w:hAnsi="Arial"/>
          <w:sz w:val="14"/>
          <w:szCs w:val="14"/>
          <w:b w:val="1"/>
          <w:bCs w:val="1"/>
          <w:color w:val="auto"/>
        </w:rPr>
        <w:t>Common engineered iPSC progenitor accelerates new product candidate generation</w:t>
      </w:r>
      <w:r>
        <w:rPr>
          <w:rFonts w:ascii="Arial" w:cs="Arial" w:eastAsia="Arial" w:hAnsi="Arial"/>
          <w:sz w:val="14"/>
          <w:szCs w:val="14"/>
          <w:color w:val="auto"/>
        </w:rPr>
        <w:t>: With</w:t>
      </w:r>
      <w:r>
        <w:rPr>
          <w:rFonts w:ascii="Arial" w:cs="Arial" w:eastAsia="Arial" w:hAnsi="Arial"/>
          <w:sz w:val="14"/>
          <w:szCs w:val="14"/>
          <w:b w:val="1"/>
          <w:bCs w:val="1"/>
          <w:color w:val="auto"/>
        </w:rPr>
        <w:t xml:space="preserve"> </w:t>
      </w:r>
      <w:r>
        <w:rPr>
          <w:rFonts w:ascii="Arial" w:cs="Arial" w:eastAsia="Arial" w:hAnsi="Arial"/>
          <w:sz w:val="14"/>
          <w:szCs w:val="14"/>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231" w:lineRule="exact"/>
        <w:rPr>
          <w:sz w:val="20"/>
          <w:szCs w:val="20"/>
          <w:color w:val="auto"/>
        </w:rPr>
      </w:pPr>
    </w:p>
    <w:p>
      <w:pPr>
        <w:ind w:left="1640" w:right="1259" w:hanging="120"/>
        <w:spacing w:after="0" w:line="280"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Significant acceleration of new product candidate generation</w:t>
      </w:r>
      <w:r>
        <w:rPr>
          <w:rFonts w:ascii="Arial" w:cs="Arial" w:eastAsia="Arial" w:hAnsi="Arial"/>
          <w:sz w:val="14"/>
          <w:szCs w:val="14"/>
          <w:color w:val="auto"/>
        </w:rPr>
        <w:t>. Multiple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56" w:lineRule="exact"/>
        <w:rPr>
          <w:rFonts w:ascii="Arial" w:cs="Arial" w:eastAsia="Arial" w:hAnsi="Arial"/>
          <w:sz w:val="14"/>
          <w:szCs w:val="14"/>
          <w:color w:val="auto"/>
        </w:rPr>
      </w:pPr>
    </w:p>
    <w:p>
      <w:pPr>
        <w:ind w:left="1640" w:right="1459" w:hanging="120"/>
        <w:spacing w:after="0" w:line="289"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Robust manufacturing processes for multiple product candidates</w:t>
      </w:r>
      <w:r>
        <w:rPr>
          <w:rFonts w:ascii="Arial" w:cs="Arial" w:eastAsia="Arial" w:hAnsi="Arial"/>
          <w:sz w:val="14"/>
          <w:szCs w:val="14"/>
          <w:color w:val="auto"/>
        </w:rPr>
        <w:t>. Since the starting iPSC</w:t>
      </w:r>
      <w:r>
        <w:rPr>
          <w:rFonts w:ascii="Arial" w:cs="Arial" w:eastAsia="Arial" w:hAnsi="Arial"/>
          <w:sz w:val="14"/>
          <w:szCs w:val="14"/>
          <w:i w:val="1"/>
          <w:iCs w:val="1"/>
          <w:color w:val="auto"/>
        </w:rPr>
        <w:t xml:space="preserve"> </w:t>
      </w:r>
      <w:r>
        <w:rPr>
          <w:rFonts w:ascii="Arial" w:cs="Arial" w:eastAsia="Arial" w:hAnsi="Arial"/>
          <w:sz w:val="14"/>
          <w:szCs w:val="14"/>
          <w:color w:val="auto"/>
        </w:rPr>
        <w:t>line is the same for multiple product candidates, our manufacturing processes are predictable and robust.</w:t>
      </w:r>
    </w:p>
    <w:p>
      <w:pPr>
        <w:spacing w:after="0" w:line="50" w:lineRule="exact"/>
        <w:rPr>
          <w:rFonts w:ascii="Arial" w:cs="Arial" w:eastAsia="Arial" w:hAnsi="Arial"/>
          <w:sz w:val="14"/>
          <w:szCs w:val="14"/>
          <w:color w:val="auto"/>
        </w:rPr>
      </w:pPr>
    </w:p>
    <w:p>
      <w:pPr>
        <w:ind w:left="1640" w:right="1299" w:hanging="120"/>
        <w:spacing w:after="0" w:line="280"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Predictability of product candidate functionality, safety, and persistence</w:t>
      </w:r>
      <w:r>
        <w:rPr>
          <w:rFonts w:ascii="Arial" w:cs="Arial" w:eastAsia="Arial" w:hAnsi="Arial"/>
          <w:sz w:val="14"/>
          <w:szCs w:val="14"/>
          <w:color w:val="auto"/>
        </w:rPr>
        <w:t>. Because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92" w:lineRule="exact"/>
        <w:rPr>
          <w:sz w:val="20"/>
          <w:szCs w:val="20"/>
          <w:color w:val="auto"/>
        </w:rPr>
      </w:pPr>
    </w:p>
    <w:p>
      <w:pPr>
        <w:ind w:left="1260" w:right="1259"/>
        <w:spacing w:after="0" w:line="257"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7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1975" cy="70783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60" w:right="1319"/>
        <w:spacing w:after="0" w:line="274" w:lineRule="auto"/>
        <w:rPr>
          <w:sz w:val="20"/>
          <w:szCs w:val="20"/>
          <w:color w:val="auto"/>
        </w:rPr>
      </w:pPr>
      <w:r>
        <w:rPr>
          <w:rFonts w:ascii="Arial" w:cs="Arial" w:eastAsia="Arial" w:hAnsi="Arial"/>
          <w:sz w:val="14"/>
          <w:szCs w:val="14"/>
          <w:color w:val="auto"/>
        </w:rPr>
        <w:t>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97" w:lineRule="exact"/>
        <w:rPr>
          <w:sz w:val="20"/>
          <w:szCs w:val="20"/>
          <w:color w:val="auto"/>
        </w:rPr>
      </w:pPr>
    </w:p>
    <w:p>
      <w:pPr>
        <w:ind w:left="1260" w:right="1339"/>
        <w:spacing w:after="0" w:line="273"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Advantages of our proprietary allogeneic cell platform technology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Key advantages of our proprietary allogeneic cell platform technology include:</w:t>
      </w:r>
    </w:p>
    <w:p>
      <w:pPr>
        <w:spacing w:after="0" w:line="75" w:lineRule="exact"/>
        <w:rPr>
          <w:sz w:val="20"/>
          <w:szCs w:val="20"/>
          <w:color w:val="auto"/>
        </w:rPr>
      </w:pPr>
    </w:p>
    <w:p>
      <w:pPr>
        <w:ind w:left="1640" w:right="1279" w:hanging="120"/>
        <w:spacing w:after="0" w:line="263" w:lineRule="auto"/>
        <w:tabs>
          <w:tab w:leader="none" w:pos="164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Greatly improved therapeutic application: </w:t>
      </w: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249" w:lineRule="exact"/>
        <w:rPr>
          <w:rFonts w:ascii="Arial" w:cs="Arial" w:eastAsia="Arial" w:hAnsi="Arial"/>
          <w:sz w:val="14"/>
          <w:szCs w:val="14"/>
          <w:color w:val="auto"/>
        </w:rPr>
      </w:pPr>
    </w:p>
    <w:p>
      <w:pPr>
        <w:ind w:left="1640" w:right="1339" w:hanging="120"/>
        <w:spacing w:after="0" w:line="279" w:lineRule="auto"/>
        <w:tabs>
          <w:tab w:leader="none" w:pos="164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Manufacturing, product quality, and COGS advantages: </w:t>
      </w:r>
      <w:r>
        <w:rPr>
          <w:rFonts w:ascii="Arial" w:cs="Arial" w:eastAsia="Arial" w:hAnsi="Arial"/>
          <w:sz w:val="14"/>
          <w:szCs w:val="14"/>
          <w:color w:val="auto"/>
        </w:rPr>
        <w:t>We believe our use of iPSCs,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60" w:right="1299"/>
        <w:spacing w:after="0" w:line="262"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intended to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15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1975" cy="691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right="1339" w:hanging="257"/>
        <w:spacing w:after="0" w:line="244" w:lineRule="auto"/>
        <w:tabs>
          <w:tab w:leader="none" w:pos="152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"Business—Licensing, partnership and collaboration—Bayer HealthCare LLC—Option Agreement" for more information.</w:t>
      </w:r>
    </w:p>
    <w:p>
      <w:pPr>
        <w:spacing w:after="0" w:line="99" w:lineRule="exact"/>
        <w:rPr>
          <w:sz w:val="20"/>
          <w:szCs w:val="20"/>
          <w:color w:val="auto"/>
        </w:rPr>
      </w:pPr>
    </w:p>
    <w:p>
      <w:pPr>
        <w:ind w:left="1260" w:right="1259"/>
        <w:spacing w:after="0" w:line="241" w:lineRule="auto"/>
        <w:rPr>
          <w:sz w:val="20"/>
          <w:szCs w:val="20"/>
          <w:color w:val="auto"/>
        </w:rPr>
      </w:pPr>
      <w:r>
        <w:rPr>
          <w:rFonts w:ascii="Arial" w:cs="Arial" w:eastAsia="Arial" w:hAnsi="Arial"/>
          <w:sz w:val="14"/>
          <w:szCs w:val="14"/>
          <w:b w:val="1"/>
          <w:bCs w:val="1"/>
          <w:color w:val="auto"/>
        </w:rPr>
        <w:t xml:space="preserve">CNTY-101: Our CAR-iNK candidate targeting CD19 for relapsed, refractory B-cell lymphoma. </w:t>
      </w:r>
      <w:r>
        <w:rPr>
          <w:rFonts w:ascii="Arial" w:cs="Arial" w:eastAsia="Arial" w:hAnsi="Arial"/>
          <w:sz w:val="14"/>
          <w:szCs w:val="14"/>
          <w:color w:val="auto"/>
        </w:rPr>
        <w:t>Our lead product candidate, CNTY-101, is an allogeneic, iPSC-derived CAR-iNK cell</w:t>
      </w:r>
      <w:r>
        <w:rPr>
          <w:rFonts w:ascii="Arial" w:cs="Arial" w:eastAsia="Arial" w:hAnsi="Arial"/>
          <w:sz w:val="14"/>
          <w:szCs w:val="14"/>
          <w:b w:val="1"/>
          <w:bCs w:val="1"/>
          <w:color w:val="auto"/>
        </w:rPr>
        <w:t xml:space="preserve"> </w:t>
      </w:r>
      <w:r>
        <w:rPr>
          <w:rFonts w:ascii="Arial" w:cs="Arial" w:eastAsia="Arial" w:hAnsi="Arial"/>
          <w:sz w:val="14"/>
          <w:szCs w:val="14"/>
          <w:color w:val="auto"/>
        </w:rPr>
        <w:t>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266" w:lineRule="exact"/>
        <w:rPr>
          <w:sz w:val="20"/>
          <w:szCs w:val="20"/>
          <w:color w:val="auto"/>
        </w:rPr>
      </w:pPr>
    </w:p>
    <w:p>
      <w:pPr>
        <w:ind w:left="1260" w:right="1279"/>
        <w:spacing w:after="0" w:line="262" w:lineRule="auto"/>
        <w:rPr>
          <w:sz w:val="20"/>
          <w:szCs w:val="20"/>
          <w:color w:val="auto"/>
        </w:rPr>
      </w:pPr>
      <w:r>
        <w:rPr>
          <w:rFonts w:ascii="Arial" w:cs="Arial" w:eastAsia="Arial" w:hAnsi="Arial"/>
          <w:sz w:val="14"/>
          <w:szCs w:val="14"/>
          <w:b w:val="1"/>
          <w:bCs w:val="1"/>
          <w:color w:val="auto"/>
        </w:rPr>
        <w:t xml:space="preserve">CNTY-103: Our CAR-iNK candidate targeting CD133 + EGFR for recurrent glioblastoma. </w:t>
      </w:r>
      <w:r>
        <w:rPr>
          <w:rFonts w:ascii="Arial" w:cs="Arial" w:eastAsia="Arial" w:hAnsi="Arial"/>
          <w:sz w:val="14"/>
          <w:szCs w:val="14"/>
          <w:color w:val="auto"/>
        </w:rPr>
        <w:t>We</w:t>
      </w:r>
      <w:r>
        <w:rPr>
          <w:rFonts w:ascii="Arial" w:cs="Arial" w:eastAsia="Arial" w:hAnsi="Arial"/>
          <w:sz w:val="14"/>
          <w:szCs w:val="14"/>
          <w:b w:val="1"/>
          <w:bCs w:val="1"/>
          <w:color w:val="auto"/>
        </w:rPr>
        <w:t xml:space="preserve"> </w:t>
      </w:r>
      <w:r>
        <w:rPr>
          <w:rFonts w:ascii="Arial" w:cs="Arial" w:eastAsia="Arial" w:hAnsi="Arial"/>
          <w:sz w:val="14"/>
          <w:szCs w:val="14"/>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8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CNTY-102: Our CAR-iT or CAR-iNK candidate targeting CD19 + CD79b for relapsed, refractory B-cell lymphoma and other B-cell malignancies. </w:t>
      </w:r>
      <w:r>
        <w:rPr>
          <w:rFonts w:ascii="Arial" w:cs="Arial" w:eastAsia="Arial" w:hAnsi="Arial"/>
          <w:sz w:val="14"/>
          <w:szCs w:val="14"/>
          <w:color w:val="auto"/>
        </w:rPr>
        <w:t>CNTY-102 will simultaneously</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87"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b w:val="1"/>
          <w:bCs w:val="1"/>
          <w:color w:val="auto"/>
        </w:rPr>
        <w:t xml:space="preserve">CNTY-104: Our CAR-iT or CAR-iNK multi-specific candidate for acute myeloid leukemia. </w:t>
      </w: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7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Discovery platform. </w:t>
      </w:r>
      <w:r>
        <w:rPr>
          <w:rFonts w:ascii="Arial" w:cs="Arial" w:eastAsia="Arial" w:hAnsi="Arial"/>
          <w:sz w:val="14"/>
          <w:szCs w:val="14"/>
          <w:color w:val="auto"/>
        </w:rPr>
        <w:t>In addition to our named programs, we are actively engaged in a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strategy</w:t>
      </w:r>
    </w:p>
    <w:p>
      <w:pPr>
        <w:spacing w:after="0" w:line="129" w:lineRule="exact"/>
        <w:rPr>
          <w:sz w:val="20"/>
          <w:szCs w:val="20"/>
          <w:color w:val="auto"/>
        </w:rPr>
      </w:pPr>
    </w:p>
    <w:p>
      <w:pPr>
        <w:ind w:left="1260" w:right="139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40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68402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80" w:right="1299" w:hanging="117"/>
        <w:spacing w:after="0" w:line="309"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Build a leading cell therapy company leveraging our comprehensive iPSC-derived allogeneic cell therapy platforms designed to overcome the limitations of existing cancer therapies.</w:t>
      </w:r>
    </w:p>
    <w:p>
      <w:pPr>
        <w:spacing w:after="0" w:line="217" w:lineRule="exact"/>
        <w:rPr>
          <w:rFonts w:ascii="Arial" w:cs="Arial" w:eastAsia="Arial" w:hAnsi="Arial"/>
          <w:sz w:val="14"/>
          <w:szCs w:val="14"/>
          <w:color w:val="auto"/>
        </w:rPr>
      </w:pPr>
    </w:p>
    <w:p>
      <w:pPr>
        <w:ind w:left="1380" w:right="18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Maximize the potential to treat a broad range of cancers by exploiting the distinct biologies of both NK and T cells.</w:t>
      </w:r>
    </w:p>
    <w:p>
      <w:pPr>
        <w:spacing w:after="0" w:line="3" w:lineRule="exact"/>
        <w:rPr>
          <w:rFonts w:ascii="Arial" w:cs="Arial" w:eastAsia="Arial" w:hAnsi="Arial"/>
          <w:sz w:val="14"/>
          <w:szCs w:val="14"/>
          <w:color w:val="auto"/>
        </w:rPr>
      </w:pPr>
    </w:p>
    <w:p>
      <w:pPr>
        <w:ind w:left="1380" w:right="1719" w:hanging="117"/>
        <w:spacing w:after="0" w:line="248"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 across our product platform to avoid host rejection and enable repeat dosing.</w:t>
      </w:r>
    </w:p>
    <w:p>
      <w:pPr>
        <w:spacing w:after="0" w:line="59" w:lineRule="exact"/>
        <w:rPr>
          <w:rFonts w:ascii="Arial" w:cs="Arial" w:eastAsia="Arial" w:hAnsi="Arial"/>
          <w:sz w:val="14"/>
          <w:szCs w:val="14"/>
          <w:color w:val="auto"/>
        </w:rPr>
      </w:pPr>
    </w:p>
    <w:p>
      <w:pPr>
        <w:ind w:left="1380" w:right="19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Exploit serial gene editing of iPSCs to create product candidates with enhanced functionalities and fit for purpose product characteristics.</w:t>
      </w:r>
    </w:p>
    <w:p>
      <w:pPr>
        <w:spacing w:after="0" w:line="29" w:lineRule="exact"/>
        <w:rPr>
          <w:rFonts w:ascii="Arial" w:cs="Arial" w:eastAsia="Arial" w:hAnsi="Arial"/>
          <w:sz w:val="14"/>
          <w:szCs w:val="14"/>
          <w:color w:val="auto"/>
        </w:rPr>
      </w:pPr>
    </w:p>
    <w:p>
      <w:pPr>
        <w:ind w:left="1380" w:right="2239" w:hanging="117"/>
        <w:spacing w:after="0" w:line="313"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own future manufacturing infrastructure, product and process understanding, and scale-up technologies to minimize manufacturing risk.</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team</w:t>
      </w:r>
    </w:p>
    <w:p>
      <w:pPr>
        <w:spacing w:after="0" w:line="129" w:lineRule="exact"/>
        <w:rPr>
          <w:sz w:val="20"/>
          <w:szCs w:val="20"/>
          <w:color w:val="auto"/>
        </w:rPr>
      </w:pPr>
    </w:p>
    <w:p>
      <w:pPr>
        <w:ind w:left="1260" w:right="1259"/>
        <w:spacing w:after="0" w:line="256"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60" w:right="1379"/>
        <w:spacing w:after="0" w:line="257"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00" w:lineRule="exact"/>
        <w:rPr>
          <w:sz w:val="20"/>
          <w:szCs w:val="20"/>
          <w:color w:val="auto"/>
        </w:rPr>
      </w:pPr>
    </w:p>
    <w:p>
      <w:pPr>
        <w:ind w:left="1260" w:right="1439"/>
        <w:spacing w:after="0" w:line="259"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Risks associated with our business</w:t>
      </w:r>
    </w:p>
    <w:p>
      <w:pPr>
        <w:spacing w:after="0" w:line="129"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52" w:lineRule="exact"/>
        <w:rPr>
          <w:sz w:val="20"/>
          <w:szCs w:val="20"/>
          <w:color w:val="auto"/>
        </w:rPr>
      </w:pPr>
    </w:p>
    <w:p>
      <w:pPr>
        <w:ind w:left="1380" w:right="151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limited operating history, have incurred significant losses since our inception, and anticipate that we will continue to incur significant losses in the foreseeable future;</w:t>
      </w:r>
    </w:p>
    <w:p>
      <w:pPr>
        <w:spacing w:after="0" w:line="66" w:lineRule="exact"/>
        <w:rPr>
          <w:rFonts w:ascii="Arial" w:cs="Arial" w:eastAsia="Arial" w:hAnsi="Arial"/>
          <w:sz w:val="14"/>
          <w:szCs w:val="14"/>
          <w:color w:val="auto"/>
        </w:rPr>
      </w:pPr>
    </w:p>
    <w:p>
      <w:pPr>
        <w:ind w:left="1380" w:right="1279" w:hanging="117"/>
        <w:spacing w:after="0" w:line="281"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48" w:lineRule="exact"/>
        <w:rPr>
          <w:rFonts w:ascii="Arial" w:cs="Arial" w:eastAsia="Arial" w:hAnsi="Arial"/>
          <w:sz w:val="14"/>
          <w:szCs w:val="14"/>
          <w:color w:val="auto"/>
        </w:rPr>
      </w:pPr>
    </w:p>
    <w:p>
      <w:pPr>
        <w:ind w:left="1380" w:right="151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will need to raise substantial additional financing to fund our operations and continue the development of our product candidates;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80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1975" cy="688086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31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highly dependent on our strategic relationships and collaborations and any termination or loss of significant rights under such arrangements with our strategic partners could seriously harm our business;</w:t>
      </w:r>
    </w:p>
    <w:p>
      <w:pPr>
        <w:spacing w:after="0" w:line="61" w:lineRule="exact"/>
        <w:rPr>
          <w:rFonts w:ascii="Arial" w:cs="Arial" w:eastAsia="Arial" w:hAnsi="Arial"/>
          <w:sz w:val="14"/>
          <w:szCs w:val="14"/>
          <w:color w:val="auto"/>
        </w:rPr>
      </w:pPr>
    </w:p>
    <w:p>
      <w:pPr>
        <w:ind w:left="1380" w:right="1519" w:hanging="117"/>
        <w:spacing w:after="0" w:line="291"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COVID-19 pandemic may materially and adversely affect our business and our financial results and could cause a disruption to our supply chain and the development of our product candidates;</w:t>
      </w:r>
    </w:p>
    <w:p>
      <w:pPr>
        <w:spacing w:after="0" w:line="220" w:lineRule="exact"/>
        <w:rPr>
          <w:rFonts w:ascii="Arial" w:cs="Arial" w:eastAsia="Arial" w:hAnsi="Arial"/>
          <w:sz w:val="14"/>
          <w:szCs w:val="14"/>
          <w:color w:val="auto"/>
        </w:rPr>
      </w:pPr>
    </w:p>
    <w:p>
      <w:pPr>
        <w:ind w:left="1380" w:right="123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utilizing CAR-iNK and CAR-iT cells represents a novel approach to immuno-oncology treatment of cancer, and we must overcome significant challenges in order to develop, commercialize, and manufacture our product candidates;</w:t>
      </w:r>
    </w:p>
    <w:p>
      <w:pPr>
        <w:spacing w:after="0" w:line="61" w:lineRule="exact"/>
        <w:rPr>
          <w:rFonts w:ascii="Arial" w:cs="Arial" w:eastAsia="Arial" w:hAnsi="Arial"/>
          <w:sz w:val="14"/>
          <w:szCs w:val="14"/>
          <w:color w:val="auto"/>
        </w:rPr>
      </w:pPr>
    </w:p>
    <w:p>
      <w:pPr>
        <w:ind w:left="1380" w:right="149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manufacture and distribution of our iPSC-derived cell product candidates is complex and subject to a multitude of risks;</w:t>
      </w:r>
    </w:p>
    <w:p>
      <w:pPr>
        <w:spacing w:after="0" w:line="55" w:lineRule="exact"/>
        <w:rPr>
          <w:rFonts w:ascii="Arial" w:cs="Arial" w:eastAsia="Arial" w:hAnsi="Arial"/>
          <w:sz w:val="14"/>
          <w:szCs w:val="14"/>
          <w:color w:val="auto"/>
        </w:rPr>
      </w:pPr>
    </w:p>
    <w:p>
      <w:pPr>
        <w:ind w:left="1380" w:right="127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pacing w:after="0" w:line="50" w:lineRule="exact"/>
        <w:rPr>
          <w:rFonts w:ascii="Arial" w:cs="Arial" w:eastAsia="Arial" w:hAnsi="Arial"/>
          <w:sz w:val="14"/>
          <w:szCs w:val="14"/>
          <w:color w:val="auto"/>
        </w:rPr>
      </w:pPr>
    </w:p>
    <w:p>
      <w:pPr>
        <w:ind w:left="1380" w:right="165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face difficulties in obtaining, protecting, maintaining, and enforcing our intellectual property rights, including intellectual property rights that are licensed to us.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Recent developments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On February 25, 2021, we sold 24,721,999 shares of our Series C preferred stock, par value</w:t>
      </w:r>
    </w:p>
    <w:p>
      <w:pPr>
        <w:spacing w:after="0" w:line="10"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color w:val="auto"/>
        </w:rPr>
        <w:t>$0.0001 per share, or the Series C preferred stock, to certain institutional investors at a price of approximately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34,126,528 shares of common stock.</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corporate information</w:t>
      </w:r>
    </w:p>
    <w:p>
      <w:pPr>
        <w:spacing w:after="0" w:line="129" w:lineRule="exact"/>
        <w:rPr>
          <w:sz w:val="20"/>
          <w:szCs w:val="20"/>
          <w:color w:val="auto"/>
        </w:rPr>
      </w:pPr>
    </w:p>
    <w:p>
      <w:pPr>
        <w:ind w:left="1260" w:right="1299"/>
        <w:spacing w:after="0" w:line="256" w:lineRule="auto"/>
        <w:rPr>
          <w:sz w:val="20"/>
          <w:szCs w:val="20"/>
          <w:color w:val="auto"/>
        </w:rPr>
      </w:pPr>
      <w:r>
        <w:rPr>
          <w:rFonts w:ascii="Arial" w:cs="Arial" w:eastAsia="Arial" w:hAnsi="Arial"/>
          <w:sz w:val="14"/>
          <w:szCs w:val="14"/>
          <w:color w:val="auto"/>
        </w:rPr>
        <w:t>We were formed in 2018 as Century Therapeutics, Inc., a Delaware corporation, or Prior Century. In connection with an investment in our Company by Bayer HealthCare LLC, or Bayer,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 We refer to these transactions on February 25, 2021 as the 2021 Reorganization.</w:t>
      </w:r>
    </w:p>
    <w:p>
      <w:pPr>
        <w:spacing w:after="0" w:line="274" w:lineRule="exact"/>
        <w:rPr>
          <w:sz w:val="20"/>
          <w:szCs w:val="20"/>
          <w:color w:val="auto"/>
        </w:rPr>
      </w:pPr>
    </w:p>
    <w:p>
      <w:pPr>
        <w:ind w:left="1260" w:right="1539"/>
        <w:spacing w:after="0" w:line="258" w:lineRule="auto"/>
        <w:rPr>
          <w:sz w:val="20"/>
          <w:szCs w:val="20"/>
          <w:color w:val="auto"/>
        </w:rPr>
      </w:pPr>
      <w:r>
        <w:rPr>
          <w:rFonts w:ascii="Arial" w:cs="Arial" w:eastAsia="Arial" w:hAnsi="Arial"/>
          <w:sz w:val="14"/>
          <w:szCs w:val="14"/>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9" w:lineRule="exact"/>
        <w:rPr>
          <w:sz w:val="20"/>
          <w:szCs w:val="20"/>
          <w:color w:val="auto"/>
        </w:rPr>
      </w:pPr>
    </w:p>
    <w:p>
      <w:pPr>
        <w:ind w:left="1260" w:right="1319"/>
        <w:spacing w:after="0" w:line="258"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724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1975" cy="67246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380" w:right="1319" w:hanging="117"/>
        <w:spacing w:after="0" w:line="278"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a correspondingly reduced “Management’s discussion and analysis of financial condition and results of operations” disclosure in this prospectus;</w:t>
      </w:r>
    </w:p>
    <w:p>
      <w:pPr>
        <w:spacing w:after="0" w:line="72" w:lineRule="exact"/>
        <w:rPr>
          <w:rFonts w:ascii="Arial" w:cs="Arial" w:eastAsia="Arial" w:hAnsi="Arial"/>
          <w:sz w:val="14"/>
          <w:szCs w:val="14"/>
          <w:color w:val="auto"/>
        </w:rPr>
      </w:pPr>
    </w:p>
    <w:p>
      <w:pPr>
        <w:ind w:left="1380" w:right="195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66" w:lineRule="exact"/>
        <w:rPr>
          <w:rFonts w:ascii="Arial" w:cs="Arial" w:eastAsia="Arial" w:hAnsi="Arial"/>
          <w:sz w:val="14"/>
          <w:szCs w:val="14"/>
          <w:color w:val="auto"/>
        </w:rPr>
      </w:pPr>
    </w:p>
    <w:p>
      <w:pPr>
        <w:ind w:left="1380" w:right="1499" w:hanging="117"/>
        <w:spacing w:after="0" w:line="278"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80" w:hanging="117"/>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80" w:right="155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80" w:hanging="117"/>
        <w:spacing w:after="0"/>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8" w:lineRule="exact"/>
        <w:rPr>
          <w:sz w:val="20"/>
          <w:szCs w:val="20"/>
          <w:color w:val="auto"/>
        </w:rPr>
      </w:pPr>
    </w:p>
    <w:p>
      <w:pPr>
        <w:ind w:left="1260" w:right="1439"/>
        <w:spacing w:after="0" w:line="276"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5" w:lineRule="exact"/>
        <w:rPr>
          <w:sz w:val="20"/>
          <w:szCs w:val="20"/>
          <w:color w:val="auto"/>
        </w:rPr>
      </w:pPr>
    </w:p>
    <w:p>
      <w:pPr>
        <w:ind w:left="1260" w:right="1259"/>
        <w:spacing w:after="0" w:line="276"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05" w:lineRule="exact"/>
        <w:rPr>
          <w:sz w:val="20"/>
          <w:szCs w:val="20"/>
          <w:color w:val="auto"/>
        </w:rPr>
      </w:pPr>
    </w:p>
    <w:p>
      <w:pPr>
        <w:ind w:left="1260" w:right="1299"/>
        <w:spacing w:after="0" w:line="273" w:lineRule="auto"/>
        <w:rPr>
          <w:sz w:val="20"/>
          <w:szCs w:val="20"/>
          <w:color w:val="auto"/>
        </w:rPr>
      </w:pPr>
      <w:r>
        <w:rPr>
          <w:rFonts w:ascii="Arial" w:cs="Arial" w:eastAsia="Arial" w:hAnsi="Arial"/>
          <w:sz w:val="14"/>
          <w:szCs w:val="14"/>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98" w:lineRule="exact"/>
        <w:rPr>
          <w:sz w:val="20"/>
          <w:szCs w:val="20"/>
          <w:color w:val="auto"/>
        </w:rPr>
      </w:pPr>
    </w:p>
    <w:p>
      <w:pPr>
        <w:ind w:left="1260" w:right="1359"/>
        <w:spacing w:after="0" w:line="271"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663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71975" cy="66630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The offering</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Common stock offered by us</w:t>
      </w:r>
    </w:p>
    <w:p>
      <w:pPr>
        <w:spacing w:after="0" w:line="107" w:lineRule="exact"/>
        <w:rPr>
          <w:sz w:val="20"/>
          <w:szCs w:val="20"/>
          <w:color w:val="auto"/>
        </w:rPr>
      </w:pPr>
    </w:p>
    <w:p>
      <w:pPr>
        <w:ind w:left="1260" w:right="20"/>
        <w:spacing w:after="0" w:line="297" w:lineRule="auto"/>
        <w:rPr>
          <w:sz w:val="20"/>
          <w:szCs w:val="20"/>
          <w:color w:val="auto"/>
        </w:rPr>
      </w:pPr>
      <w:r>
        <w:rPr>
          <w:rFonts w:ascii="Arial" w:cs="Arial" w:eastAsia="Arial" w:hAnsi="Arial"/>
          <w:sz w:val="14"/>
          <w:szCs w:val="14"/>
          <w:b w:val="1"/>
          <w:bCs w:val="1"/>
          <w:color w:val="auto"/>
        </w:rPr>
        <w:t>Underwriters’ option to purchase additional shares</w:t>
      </w:r>
    </w:p>
    <w:p>
      <w:pPr>
        <w:spacing w:after="0" w:line="41" w:lineRule="exact"/>
        <w:rPr>
          <w:sz w:val="20"/>
          <w:szCs w:val="20"/>
          <w:color w:val="auto"/>
        </w:rPr>
      </w:pPr>
    </w:p>
    <w:p>
      <w:pPr>
        <w:ind w:left="1260"/>
        <w:spacing w:after="0" w:line="297" w:lineRule="auto"/>
        <w:rPr>
          <w:sz w:val="20"/>
          <w:szCs w:val="20"/>
          <w:color w:val="auto"/>
        </w:rPr>
      </w:pPr>
      <w:r>
        <w:rPr>
          <w:rFonts w:ascii="Arial" w:cs="Arial" w:eastAsia="Arial" w:hAnsi="Arial"/>
          <w:sz w:val="14"/>
          <w:szCs w:val="14"/>
          <w:b w:val="1"/>
          <w:bCs w:val="1"/>
          <w:color w:val="auto"/>
        </w:rPr>
        <w:t>Common stock to be outstanding after this offering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20"/>
        <w:spacing w:after="0" w:line="297" w:lineRule="auto"/>
        <w:rPr>
          <w:sz w:val="20"/>
          <w:szCs w:val="20"/>
          <w:color w:val="auto"/>
        </w:rPr>
      </w:pPr>
      <w:r>
        <w:rPr>
          <w:rFonts w:ascii="Arial" w:cs="Arial" w:eastAsia="Arial" w:hAnsi="Arial"/>
          <w:sz w:val="14"/>
          <w:szCs w:val="14"/>
          <w:b w:val="1"/>
          <w:bCs w:val="1"/>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10,550,000 shares.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1,582,500 shares.</w:t>
      </w:r>
    </w:p>
    <w:p>
      <w:pPr>
        <w:spacing w:after="0" w:line="278" w:lineRule="exact"/>
        <w:rPr>
          <w:sz w:val="20"/>
          <w:szCs w:val="20"/>
          <w:color w:val="auto"/>
        </w:rPr>
      </w:pPr>
    </w:p>
    <w:p>
      <w:pPr>
        <w:ind w:right="1399"/>
        <w:spacing w:after="0" w:line="278" w:lineRule="auto"/>
        <w:rPr>
          <w:sz w:val="20"/>
          <w:szCs w:val="20"/>
          <w:color w:val="auto"/>
        </w:rPr>
      </w:pPr>
      <w:r>
        <w:rPr>
          <w:rFonts w:ascii="Arial" w:cs="Arial" w:eastAsia="Arial" w:hAnsi="Arial"/>
          <w:sz w:val="14"/>
          <w:szCs w:val="14"/>
          <w:color w:val="auto"/>
        </w:rPr>
        <w:t>54,824,608 shares (or 56,407,108 shares if the underwriters exercise in full their option to purchase additional shares).</w:t>
      </w:r>
    </w:p>
    <w:p>
      <w:pPr>
        <w:spacing w:after="0" w:line="72" w:lineRule="exact"/>
        <w:rPr>
          <w:sz w:val="20"/>
          <w:szCs w:val="20"/>
          <w:color w:val="auto"/>
        </w:rPr>
      </w:pPr>
    </w:p>
    <w:p>
      <w:pPr>
        <w:ind w:right="1259"/>
        <w:spacing w:after="0" w:line="273" w:lineRule="auto"/>
        <w:rPr>
          <w:sz w:val="20"/>
          <w:szCs w:val="20"/>
          <w:color w:val="auto"/>
        </w:rPr>
      </w:pPr>
      <w:r>
        <w:rPr>
          <w:rFonts w:ascii="Arial" w:cs="Arial" w:eastAsia="Arial" w:hAnsi="Arial"/>
          <w:sz w:val="14"/>
          <w:szCs w:val="14"/>
          <w:color w:val="auto"/>
        </w:rPr>
        <w:t>We estimate that the net proceeds from this offering will be approximately $182.4 million (or approximately $210.4 million if the underwriters exercise in full their option to purchase up to 1,582,500 additional shares of common stock), based on the assumed initial public offering price of $19.00 per share, the midpoint of the price range set forth on the cover page of this prospectus, after deducting underwriting discounts and commissions and estimated offering expenses payable by us.</w:t>
      </w:r>
    </w:p>
    <w:p>
      <w:pPr>
        <w:spacing w:after="0" w:line="290" w:lineRule="exact"/>
        <w:rPr>
          <w:sz w:val="20"/>
          <w:szCs w:val="20"/>
          <w:color w:val="auto"/>
        </w:rPr>
      </w:pPr>
    </w:p>
    <w:p>
      <w:pPr>
        <w:ind w:right="1299"/>
        <w:spacing w:after="0" w:line="289" w:lineRule="auto"/>
        <w:rPr>
          <w:sz w:val="20"/>
          <w:szCs w:val="20"/>
          <w:color w:val="auto"/>
        </w:rPr>
      </w:pPr>
      <w:r>
        <w:rPr>
          <w:rFonts w:ascii="Arial" w:cs="Arial" w:eastAsia="Arial" w:hAnsi="Arial"/>
          <w:sz w:val="14"/>
          <w:szCs w:val="14"/>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08" w:lineRule="exact"/>
        <w:rPr>
          <w:sz w:val="20"/>
          <w:szCs w:val="20"/>
          <w:color w:val="auto"/>
        </w:rPr>
      </w:pPr>
    </w:p>
    <w:p>
      <w:pPr>
        <w:ind w:right="1299"/>
        <w:spacing w:after="0" w:line="302" w:lineRule="auto"/>
        <w:rPr>
          <w:sz w:val="20"/>
          <w:szCs w:val="20"/>
          <w:color w:val="auto"/>
        </w:rPr>
      </w:pPr>
      <w:r>
        <w:rPr>
          <w:rFonts w:ascii="Arial" w:cs="Arial" w:eastAsia="Arial" w:hAnsi="Arial"/>
          <w:sz w:val="14"/>
          <w:szCs w:val="14"/>
          <w:color w:val="auto"/>
        </w:rPr>
        <w:t>See the section titled “Use of proceeds” for additional information.</w:t>
      </w:r>
    </w:p>
    <w:p>
      <w:pPr>
        <w:spacing w:after="0" w:line="66" w:lineRule="exact"/>
        <w:rPr>
          <w:sz w:val="20"/>
          <w:szCs w:val="20"/>
          <w:color w:val="auto"/>
        </w:rPr>
      </w:pPr>
    </w:p>
    <w:p>
      <w:pPr>
        <w:ind w:right="1339"/>
        <w:spacing w:after="0" w:line="277" w:lineRule="auto"/>
        <w:rPr>
          <w:sz w:val="20"/>
          <w:szCs w:val="20"/>
          <w:color w:val="auto"/>
        </w:rPr>
      </w:pPr>
      <w:r>
        <w:rPr>
          <w:rFonts w:ascii="Arial" w:cs="Arial" w:eastAsia="Arial" w:hAnsi="Arial"/>
          <w:sz w:val="14"/>
          <w:szCs w:val="14"/>
          <w:color w:val="auto"/>
        </w:rPr>
        <w:t>You should read the section titled “Risk factors” for a discussion of factors to consider carefully, together with all the other information included in this prospectus, before deciding to invest in our common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“IPSC”</w:t>
      </w:r>
    </w:p>
    <w:p>
      <w:pPr>
        <w:spacing w:after="0" w:line="128" w:lineRule="exact"/>
        <w:rPr>
          <w:sz w:val="20"/>
          <w:szCs w:val="20"/>
          <w:color w:val="auto"/>
        </w:rPr>
      </w:pPr>
    </w:p>
    <w:p>
      <w:pPr>
        <w:sectPr>
          <w:pgSz w:w="11900" w:h="16838" w:orient="portrait"/>
          <w:cols w:equalWidth="0" w:num="2">
            <w:col w:w="3640" w:space="540"/>
            <w:col w:w="4839"/>
          </w:cols>
          <w:pgMar w:left="1440" w:top="134" w:right="1440" w:bottom="1440" w:gutter="0" w:footer="0" w:header="0"/>
          <w:type w:val="continuous"/>
        </w:sectPr>
      </w:pPr>
    </w:p>
    <w:p>
      <w:pPr>
        <w:ind w:left="1260" w:right="1299"/>
        <w:spacing w:after="0" w:line="275" w:lineRule="auto"/>
        <w:rPr>
          <w:sz w:val="20"/>
          <w:szCs w:val="20"/>
          <w:color w:val="auto"/>
        </w:rPr>
      </w:pPr>
      <w:r>
        <w:rPr>
          <w:rFonts w:ascii="Arial" w:cs="Arial" w:eastAsia="Arial" w:hAnsi="Arial"/>
          <w:sz w:val="14"/>
          <w:szCs w:val="14"/>
          <w:color w:val="auto"/>
        </w:rPr>
        <w:t>The number of shares of our common stock to be outstanding after this offering is based on 44,274,608 shares of common stock outstanding as of June 11, 2021, (which includes 3,775,535 shares outstanding that are subject to forfeiture or our right to repurchase as of such date) assuming the conversion of all outstanding shares of our convertible preferred stock into an aggregate of 34,126,528 shares of common stock upon the closing of this offering, and excludes:</w:t>
      </w:r>
    </w:p>
    <w:p>
      <w:pPr>
        <w:spacing w:after="0" w:line="74" w:lineRule="exact"/>
        <w:rPr>
          <w:sz w:val="20"/>
          <w:szCs w:val="20"/>
          <w:color w:val="auto"/>
        </w:rPr>
      </w:pPr>
    </w:p>
    <w:p>
      <w:pPr>
        <w:ind w:left="1380" w:right="175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5,389,519 shares of our common stock issuable upon the exercise of stock options as of June 11, 2021, at a weighted-average exercise price of $3.74 per share;</w:t>
      </w:r>
    </w:p>
    <w:p>
      <w:pPr>
        <w:spacing w:after="0" w:line="66" w:lineRule="exact"/>
        <w:rPr>
          <w:rFonts w:ascii="Arial" w:cs="Arial" w:eastAsia="Arial" w:hAnsi="Arial"/>
          <w:sz w:val="14"/>
          <w:szCs w:val="14"/>
          <w:color w:val="auto"/>
        </w:rPr>
      </w:pPr>
    </w:p>
    <w:p>
      <w:pPr>
        <w:ind w:left="1380" w:right="181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32,009 shares of our common stock issuable upon the exercise of warrants to purchase common stock, at a weighted-average exercise price of $10.64 per share;</w:t>
      </w:r>
    </w:p>
    <w:p>
      <w:pPr>
        <w:spacing w:after="0" w:line="66" w:lineRule="exact"/>
        <w:rPr>
          <w:rFonts w:ascii="Arial" w:cs="Arial" w:eastAsia="Arial" w:hAnsi="Arial"/>
          <w:sz w:val="14"/>
          <w:szCs w:val="14"/>
          <w:color w:val="auto"/>
        </w:rPr>
      </w:pPr>
    </w:p>
    <w:p>
      <w:pPr>
        <w:ind w:left="1380" w:right="1539" w:hanging="117"/>
        <w:spacing w:after="0" w:line="28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61,466 shares of our common stock reserved for issuance pursuant to future awards as of June 11, 2021 under our 2018 Stock Option and Grant Plan, as amended, or the 2018 Plan;</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1" w:name="page12"/>
    <w:bookmarkEnd w:id="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6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71975" cy="636397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239" w:hanging="117"/>
        <w:spacing w:after="0" w:line="27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80" w:right="1299" w:hanging="117"/>
        <w:spacing w:after="0" w:line="27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the ESPP, which will become effective upon the effectiveness of the Registration Statement of which this prospectus forms a part, as well as any future increases in the number of shares of common stock reserved for issuance under the ESPP.</w:t>
      </w:r>
    </w:p>
    <w:p>
      <w:pPr>
        <w:spacing w:after="0" w:line="95" w:lineRule="exact"/>
        <w:rPr>
          <w:sz w:val="20"/>
          <w:szCs w:val="20"/>
          <w:color w:val="auto"/>
        </w:rPr>
      </w:pPr>
    </w:p>
    <w:p>
      <w:pPr>
        <w:ind w:left="1260" w:right="1379"/>
        <w:spacing w:after="0" w:line="286" w:lineRule="auto"/>
        <w:rPr>
          <w:sz w:val="20"/>
          <w:szCs w:val="20"/>
          <w:color w:val="auto"/>
        </w:rPr>
      </w:pPr>
      <w:r>
        <w:rPr>
          <w:rFonts w:ascii="Arial" w:cs="Arial" w:eastAsia="Arial" w:hAnsi="Arial"/>
          <w:sz w:val="14"/>
          <w:szCs w:val="14"/>
          <w:color w:val="auto"/>
        </w:rPr>
        <w:t>Unless otherwise indicated, all information contained in this prospectus, including the number of shares of common stock that will be outstanding after this offering, assumes or gives effect to:</w:t>
      </w:r>
    </w:p>
    <w:p>
      <w:pPr>
        <w:spacing w:after="0" w:line="66" w:lineRule="exact"/>
        <w:rPr>
          <w:sz w:val="20"/>
          <w:szCs w:val="20"/>
          <w:color w:val="auto"/>
        </w:rPr>
      </w:pPr>
    </w:p>
    <w:p>
      <w:pPr>
        <w:ind w:left="1380" w:hanging="117"/>
        <w:spacing w:after="0"/>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exercise of the outstanding options or warrants described above;</w:t>
      </w:r>
    </w:p>
    <w:p>
      <w:pPr>
        <w:spacing w:after="0" w:line="106" w:lineRule="exact"/>
        <w:rPr>
          <w:rFonts w:ascii="Arial" w:cs="Arial" w:eastAsia="Arial" w:hAnsi="Arial"/>
          <w:sz w:val="14"/>
          <w:szCs w:val="14"/>
          <w:color w:val="auto"/>
        </w:rPr>
      </w:pPr>
    </w:p>
    <w:p>
      <w:pPr>
        <w:ind w:left="1380" w:right="159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filing and effectiveness of our second amended and restated certificate of incorporation immediately prior to the closing of this offering;</w:t>
      </w:r>
    </w:p>
    <w:p>
      <w:pPr>
        <w:spacing w:after="0" w:line="66" w:lineRule="exact"/>
        <w:rPr>
          <w:rFonts w:ascii="Arial" w:cs="Arial" w:eastAsia="Arial" w:hAnsi="Arial"/>
          <w:sz w:val="14"/>
          <w:szCs w:val="14"/>
          <w:color w:val="auto"/>
        </w:rPr>
      </w:pPr>
    </w:p>
    <w:p>
      <w:pPr>
        <w:ind w:left="1380" w:right="145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one for 2.5161 reverse stock split of our common stock to be effected prior to the closing of this offering;</w:t>
      </w:r>
    </w:p>
    <w:p>
      <w:pPr>
        <w:spacing w:after="0" w:line="66" w:lineRule="exact"/>
        <w:rPr>
          <w:rFonts w:ascii="Arial" w:cs="Arial" w:eastAsia="Arial" w:hAnsi="Arial"/>
          <w:sz w:val="14"/>
          <w:szCs w:val="14"/>
          <w:color w:val="auto"/>
        </w:rPr>
      </w:pPr>
    </w:p>
    <w:p>
      <w:pPr>
        <w:ind w:left="1380" w:right="129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automatic conversion of all our preferred stock outstanding into an aggregate of 34,126,528 shares of our common stock upon the closing of this offering; and</w:t>
      </w:r>
    </w:p>
    <w:p>
      <w:pPr>
        <w:spacing w:after="0" w:line="66" w:lineRule="exact"/>
        <w:rPr>
          <w:rFonts w:ascii="Arial" w:cs="Arial" w:eastAsia="Arial" w:hAnsi="Arial"/>
          <w:sz w:val="14"/>
          <w:szCs w:val="14"/>
          <w:color w:val="auto"/>
        </w:rPr>
      </w:pPr>
    </w:p>
    <w:p>
      <w:pPr>
        <w:ind w:left="1380" w:right="1319" w:hanging="117"/>
        <w:spacing w:after="0" w:line="286" w:lineRule="auto"/>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up to 1,582,500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23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1975" cy="632333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Summary consolidated financial data</w:t>
      </w:r>
    </w:p>
    <w:p>
      <w:pPr>
        <w:spacing w:after="0" w:line="141" w:lineRule="exact"/>
        <w:rPr>
          <w:sz w:val="20"/>
          <w:szCs w:val="20"/>
          <w:color w:val="auto"/>
        </w:rPr>
      </w:pPr>
    </w:p>
    <w:p>
      <w:pPr>
        <w:ind w:left="1260" w:right="127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6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right"/>
              <w:ind w:right="3"/>
              <w:spacing w:after="0"/>
              <w:rPr>
                <w:sz w:val="20"/>
                <w:szCs w:val="20"/>
                <w:color w:val="auto"/>
              </w:rPr>
            </w:pPr>
            <w:r>
              <w:rPr>
                <w:rFonts w:ascii="Arial" w:cs="Arial" w:eastAsia="Arial" w:hAnsi="Arial"/>
                <w:sz w:val="12"/>
                <w:szCs w:val="12"/>
                <w:b w:val="1"/>
                <w:bCs w:val="1"/>
                <w:color w:val="auto"/>
              </w:rPr>
              <w:t>Successor Predecessor</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period from</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period from</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June 21, 2019</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(Inception) to</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2019 to</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gridSpan w:val="2"/>
          </w:tcPr>
          <w:p>
            <w:pPr>
              <w:jc w:val="right"/>
              <w:ind w:right="1"/>
              <w:spacing w:after="0" w:line="100" w:lineRule="exact"/>
              <w:rPr>
                <w:sz w:val="20"/>
                <w:szCs w:val="20"/>
                <w:color w:val="auto"/>
              </w:rPr>
            </w:pPr>
            <w:r>
              <w:rPr>
                <w:rFonts w:ascii="Arial" w:cs="Arial" w:eastAsia="Arial" w:hAnsi="Arial"/>
                <w:sz w:val="11"/>
                <w:szCs w:val="11"/>
                <w:b w:val="1"/>
                <w:bCs w:val="1"/>
                <w:color w:val="auto"/>
              </w:rPr>
              <w:t>December 31, December 31,</w:t>
            </w:r>
          </w:p>
        </w:tc>
        <w:tc>
          <w:tcPr>
            <w:tcW w:w="780" w:type="dxa"/>
            <w:vAlign w:val="bottom"/>
          </w:tcPr>
          <w:p>
            <w:pPr>
              <w:jc w:val="right"/>
              <w:ind w:right="3"/>
              <w:spacing w:after="0" w:line="100" w:lineRule="exact"/>
              <w:rPr>
                <w:sz w:val="20"/>
                <w:szCs w:val="20"/>
                <w:color w:val="auto"/>
              </w:rPr>
            </w:pPr>
            <w:r>
              <w:rPr>
                <w:rFonts w:ascii="Arial" w:cs="Arial" w:eastAsia="Arial" w:hAnsi="Arial"/>
                <w:sz w:val="11"/>
                <w:szCs w:val="11"/>
                <w:b w:val="1"/>
                <w:bCs w:val="1"/>
                <w:color w:val="auto"/>
              </w:rPr>
              <w:t>June 20,</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019"/>
          </w:cols>
          <w:pgMar w:left="1440" w:top="134" w:right="1440" w:bottom="1440" w:gutter="0" w:footer="0" w:header="0"/>
        </w:sectPr>
      </w:pPr>
    </w:p>
    <w:p>
      <w:pPr>
        <w:ind w:left="1260"/>
        <w:spacing w:after="0"/>
        <w:rPr>
          <w:sz w:val="20"/>
          <w:szCs w:val="20"/>
          <w:color w:val="auto"/>
        </w:rPr>
      </w:pPr>
      <w:r>
        <w:rPr>
          <w:rFonts w:ascii="Arial" w:cs="Arial" w:eastAsia="Arial" w:hAnsi="Arial"/>
          <w:sz w:val="12"/>
          <w:szCs w:val="12"/>
          <w:color w:val="auto"/>
        </w:rPr>
        <w:t>Operating expenses:</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Research and development</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General and administrative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Write off of in-process research 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development asset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Total operating expenses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Loss from operations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Interest expense</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Other income, net</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 per common share</w:t>
      </w:r>
    </w:p>
    <w:p>
      <w:pPr>
        <w:ind w:left="1380"/>
        <w:spacing w:after="0" w:line="231" w:lineRule="auto"/>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p>
      <w:pPr>
        <w:spacing w:after="0" w:line="17" w:lineRule="exact"/>
        <w:rPr>
          <w:sz w:val="20"/>
          <w:szCs w:val="20"/>
          <w:color w:val="auto"/>
        </w:rPr>
      </w:pPr>
    </w:p>
    <w:p>
      <w:pPr>
        <w:ind w:left="1380" w:right="60" w:hanging="116"/>
        <w:spacing w:after="0" w:line="254" w:lineRule="auto"/>
        <w:rPr>
          <w:sz w:val="20"/>
          <w:szCs w:val="20"/>
          <w:color w:val="auto"/>
        </w:rPr>
      </w:pPr>
      <w:r>
        <w:rPr>
          <w:rFonts w:ascii="Arial" w:cs="Arial" w:eastAsia="Arial" w:hAnsi="Arial"/>
          <w:sz w:val="12"/>
          <w:szCs w:val="12"/>
          <w:color w:val="auto"/>
        </w:rPr>
        <w:t>Weighted average common shares outstanding Basic and Diluted</w:t>
      </w:r>
      <w:r>
        <w:rPr>
          <w:rFonts w:ascii="Arial" w:cs="Arial" w:eastAsia="Arial" w:hAnsi="Arial"/>
          <w:sz w:val="17"/>
          <w:szCs w:val="17"/>
          <w:color w:val="auto"/>
          <w:vertAlign w:val="superscript"/>
        </w:rPr>
        <w:t>(1)</w:t>
      </w:r>
    </w:p>
    <w:p>
      <w:pPr>
        <w:jc w:val="both"/>
        <w:ind w:left="1380" w:right="280" w:hanging="116"/>
        <w:spacing w:after="0" w:line="228" w:lineRule="auto"/>
        <w:rPr>
          <w:sz w:val="20"/>
          <w:szCs w:val="20"/>
          <w:color w:val="auto"/>
        </w:rPr>
      </w:pPr>
      <w:r>
        <w:rPr>
          <w:rFonts w:ascii="Arial" w:cs="Arial" w:eastAsia="Arial" w:hAnsi="Arial"/>
          <w:sz w:val="12"/>
          <w:szCs w:val="12"/>
          <w:color w:val="auto"/>
        </w:rPr>
        <w:t>Pro forma net loss per share attributable to common stockholders – basic and diluted (unaudited)</w:t>
      </w:r>
      <w:r>
        <w:rPr>
          <w:rFonts w:ascii="Arial" w:cs="Arial" w:eastAsia="Arial" w:hAnsi="Arial"/>
          <w:sz w:val="17"/>
          <w:szCs w:val="17"/>
          <w:color w:val="auto"/>
          <w:vertAlign w:val="superscript"/>
        </w:rPr>
        <w:t>(2)</w:t>
      </w:r>
    </w:p>
    <w:p>
      <w:pPr>
        <w:spacing w:after="0" w:line="2" w:lineRule="exact"/>
        <w:rPr>
          <w:sz w:val="20"/>
          <w:szCs w:val="20"/>
          <w:color w:val="auto"/>
        </w:rPr>
      </w:pPr>
    </w:p>
    <w:p>
      <w:pPr>
        <w:ind w:left="1380" w:hanging="116"/>
        <w:spacing w:after="0" w:line="238" w:lineRule="auto"/>
        <w:rPr>
          <w:sz w:val="20"/>
          <w:szCs w:val="20"/>
          <w:color w:val="auto"/>
        </w:rPr>
      </w:pPr>
      <w:r>
        <w:rPr>
          <w:rFonts w:ascii="Arial" w:cs="Arial" w:eastAsia="Arial" w:hAnsi="Arial"/>
          <w:sz w:val="12"/>
          <w:szCs w:val="12"/>
          <w:color w:val="auto"/>
        </w:rPr>
        <w:t>Pro forma weighted-average number of common shares – basic and diluted (unaudited)</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15,374 $</w:t>
            </w:r>
          </w:p>
        </w:tc>
        <w:tc>
          <w:tcPr>
            <w:tcW w:w="520" w:type="dxa"/>
            <w:vAlign w:val="bottom"/>
          </w:tcPr>
          <w:p>
            <w:pPr>
              <w:jc w:val="right"/>
              <w:spacing w:after="0"/>
              <w:rPr>
                <w:sz w:val="20"/>
                <w:szCs w:val="20"/>
                <w:color w:val="auto"/>
              </w:rPr>
            </w:pPr>
            <w:r>
              <w:rPr>
                <w:rFonts w:ascii="Arial" w:cs="Arial" w:eastAsia="Arial" w:hAnsi="Arial"/>
                <w:sz w:val="12"/>
                <w:szCs w:val="12"/>
                <w:color w:val="auto"/>
              </w:rPr>
              <w:t>7,943</w:t>
            </w:r>
          </w:p>
        </w:tc>
        <w:tc>
          <w:tcPr>
            <w:tcW w:w="4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39,681</w:t>
            </w:r>
          </w:p>
        </w:tc>
        <w:tc>
          <w:tcPr>
            <w:tcW w:w="1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10,107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4,159</w:t>
            </w:r>
          </w:p>
        </w:tc>
        <w:tc>
          <w:tcPr>
            <w:tcW w:w="20" w:type="dxa"/>
            <w:vAlign w:val="bottom"/>
          </w:tcPr>
          <w:p>
            <w:pPr>
              <w:spacing w:after="0"/>
              <w:rPr>
                <w:sz w:val="12"/>
                <w:szCs w:val="12"/>
                <w:color w:val="auto"/>
              </w:rPr>
            </w:pPr>
          </w:p>
        </w:tc>
      </w:tr>
      <w:tr>
        <w:trPr>
          <w:trHeight w:val="182"/>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2,688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3,622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2,145</w:t>
            </w:r>
          </w:p>
        </w:tc>
        <w:tc>
          <w:tcPr>
            <w:tcW w:w="20" w:type="dxa"/>
            <w:vAlign w:val="bottom"/>
          </w:tcPr>
          <w:p>
            <w:pPr>
              <w:spacing w:after="0"/>
              <w:rPr>
                <w:sz w:val="15"/>
                <w:szCs w:val="15"/>
                <w:color w:val="auto"/>
              </w:rPr>
            </w:pPr>
          </w:p>
        </w:tc>
      </w:tr>
      <w:tr>
        <w:trPr>
          <w:trHeight w:val="310"/>
        </w:trPr>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225,946</w:t>
            </w:r>
          </w:p>
        </w:tc>
        <w:tc>
          <w:tcPr>
            <w:tcW w:w="1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1"/>
        </w:trPr>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18,062</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9,993</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53,898</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6,304</w:t>
            </w:r>
          </w:p>
        </w:tc>
        <w:tc>
          <w:tcPr>
            <w:tcW w:w="20" w:type="dxa"/>
            <w:vAlign w:val="bottom"/>
          </w:tcPr>
          <w:p>
            <w:pPr>
              <w:spacing w:after="0"/>
              <w:rPr>
                <w:sz w:val="12"/>
                <w:szCs w:val="12"/>
                <w:color w:val="auto"/>
              </w:rPr>
            </w:pP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(18,062)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(9,993)</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(53,898)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(6,304)</w:t>
            </w: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(314)</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(381)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76"/>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w:t>
            </w:r>
          </w:p>
        </w:tc>
        <w:tc>
          <w:tcPr>
            <w:tcW w:w="20" w:type="dxa"/>
            <w:vAlign w:val="bottom"/>
          </w:tcPr>
          <w:p>
            <w:pPr>
              <w:spacing w:after="0"/>
              <w:rPr>
                <w:sz w:val="15"/>
                <w:szCs w:val="15"/>
                <w:color w:val="auto"/>
              </w:rPr>
            </w:pPr>
          </w:p>
        </w:tc>
      </w:tr>
      <w:tr>
        <w:trPr>
          <w:trHeight w:val="141"/>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(18,348)$</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(9,673)</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(53,575)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(238,767)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(6,002)</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(2.39)$</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(31.91)</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7,677,196</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7,481,861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5,973,228</w:t>
            </w:r>
          </w:p>
        </w:tc>
        <w:tc>
          <w:tcPr>
            <w:tcW w:w="2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(0.44)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(1.29)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41,803,724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41,608,389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96" w:lineRule="exact"/>
        <w:rPr>
          <w:sz w:val="20"/>
          <w:szCs w:val="20"/>
          <w:color w:val="auto"/>
        </w:rPr>
      </w:pPr>
    </w:p>
    <w:p>
      <w:pPr>
        <w:sectPr>
          <w:pgSz w:w="11900" w:h="16838" w:orient="portrait"/>
          <w:cols w:equalWidth="0" w:num="2">
            <w:col w:w="3900" w:space="180"/>
            <w:col w:w="4939"/>
          </w:cols>
          <w:pgMar w:left="1440" w:top="134" w:right="1440" w:bottom="1440" w:gutter="0" w:footer="0" w:header="0"/>
          <w:type w:val="continuous"/>
        </w:sectPr>
      </w:pPr>
    </w:p>
    <w:p>
      <w:pPr>
        <w:ind w:left="1260" w:right="1259" w:firstLine="3"/>
        <w:spacing w:after="0" w:line="246" w:lineRule="auto"/>
        <w:tabs>
          <w:tab w:leader="none" w:pos="1431"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50" w:lineRule="exact"/>
        <w:rPr>
          <w:rFonts w:ascii="Arial" w:cs="Arial" w:eastAsia="Arial" w:hAnsi="Arial"/>
          <w:sz w:val="11"/>
          <w:szCs w:val="11"/>
          <w:color w:val="auto"/>
        </w:rPr>
      </w:pPr>
    </w:p>
    <w:p>
      <w:pPr>
        <w:ind w:left="1260" w:right="1279" w:firstLine="3"/>
        <w:spacing w:after="0" w:line="246" w:lineRule="auto"/>
        <w:tabs>
          <w:tab w:leader="none" w:pos="1431"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3" w:name="page14"/>
    <w:bookmarkEnd w:id="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16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71975" cy="63163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60" w:right="1359" w:firstLine="3"/>
        <w:spacing w:after="0" w:line="248" w:lineRule="auto"/>
        <w:tabs>
          <w:tab w:leader="none" w:pos="1431"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Risk factors</w:t>
      </w:r>
    </w:p>
    <w:p>
      <w:pPr>
        <w:spacing w:after="0" w:line="116"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124" w:lineRule="exact"/>
        <w:rPr>
          <w:sz w:val="20"/>
          <w:szCs w:val="20"/>
          <w:color w:val="auto"/>
        </w:rPr>
      </w:pPr>
    </w:p>
    <w:p>
      <w:pPr>
        <w:ind w:left="1240" w:right="1479"/>
        <w:spacing w:after="0" w:line="310"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67" w:lineRule="exact"/>
        <w:rPr>
          <w:sz w:val="20"/>
          <w:szCs w:val="20"/>
          <w:color w:val="auto"/>
        </w:rPr>
      </w:pPr>
    </w:p>
    <w:p>
      <w:pPr>
        <w:ind w:left="1240" w:right="1659"/>
        <w:spacing w:after="0" w:line="310" w:lineRule="auto"/>
        <w:rPr>
          <w:sz w:val="20"/>
          <w:szCs w:val="20"/>
          <w:color w:val="auto"/>
        </w:rPr>
      </w:pPr>
      <w:r>
        <w:rPr>
          <w:rFonts w:ascii="Arial" w:cs="Arial" w:eastAsia="Arial" w:hAnsi="Arial"/>
          <w:sz w:val="14"/>
          <w:szCs w:val="14"/>
          <w:b w:val="1"/>
          <w:bCs w:val="1"/>
          <w:i w:val="1"/>
          <w:iCs w:val="1"/>
          <w:color w:val="auto"/>
        </w:rPr>
        <w:t>We have incurred significant operating losses since our inception and expect to incur significant losses for the foreseeable future.</w:t>
      </w:r>
    </w:p>
    <w:p>
      <w:pPr>
        <w:spacing w:after="0" w:line="82"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have incurred significant operating losses since our inception. If our product candidates are not successfully developed and approved, we may never generate any revenue. Our net losses were $6.0 million, $238.8 million, $53.6 million, and $18.3 million for the period from January 1, 2019 through June 20, 2019 (our predecessor, Century Therapeutics, Inc., or Prior Century), the period from June 21, 2019 through December 31, 2019 (our successor after the completion of the 2019 Reorganization (as defined herein), or the Successor), the year ended December 31, 2020 (Successor) and the quarter ended March 31, 2021 (Successor), respectively. We had an accumulated deficit of $310.7 million as of March 31,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We expect that it will be several years, if ever, before we have a commercialized product. We anticipate that our expenses will increase substantially if, and as, we:</w:t>
      </w:r>
    </w:p>
    <w:p>
      <w:pPr>
        <w:spacing w:after="0" w:line="66" w:lineRule="exact"/>
        <w:rPr>
          <w:sz w:val="20"/>
          <w:szCs w:val="20"/>
          <w:color w:val="auto"/>
        </w:rPr>
      </w:pPr>
    </w:p>
    <w:p>
      <w:pPr>
        <w:ind w:left="1360" w:right="12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continue to advance our induced pluripotent stem cells, or iPSC-derived allogeneic, cell therapy platforms;</w:t>
      </w:r>
    </w:p>
    <w:p>
      <w:pPr>
        <w:spacing w:after="0" w:line="66" w:lineRule="exact"/>
        <w:rPr>
          <w:rFonts w:ascii="Arial" w:cs="Arial" w:eastAsia="Arial" w:hAnsi="Arial"/>
          <w:sz w:val="14"/>
          <w:szCs w:val="14"/>
          <w:color w:val="auto"/>
        </w:rPr>
      </w:pPr>
    </w:p>
    <w:p>
      <w:pPr>
        <w:ind w:left="1360" w:right="163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continue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 and validate our own clinical-scale current good manufacturing practices, or cGMP, facilities;</w:t>
      </w:r>
    </w:p>
    <w:p>
      <w:pPr>
        <w:spacing w:after="0" w:line="55"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9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We may never succeed in any or all of these activities and, even if we do, we may never generate revenue.</w:t>
      </w:r>
    </w:p>
    <w:p>
      <w:pPr>
        <w:spacing w:after="0" w:line="71" w:lineRule="exact"/>
        <w:rPr>
          <w:sz w:val="20"/>
          <w:szCs w:val="20"/>
          <w:color w:val="auto"/>
        </w:rPr>
      </w:pPr>
    </w:p>
    <w:p>
      <w:pPr>
        <w:ind w:left="1240" w:right="1439"/>
        <w:spacing w:after="0" w:line="310" w:lineRule="auto"/>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14" w:lineRule="exact"/>
        <w:rPr>
          <w:sz w:val="20"/>
          <w:szCs w:val="20"/>
          <w:color w:val="auto"/>
        </w:rPr>
      </w:pPr>
    </w:p>
    <w:p>
      <w:pPr>
        <w:jc w:val="both"/>
        <w:ind w:left="1240" w:right="1579"/>
        <w:spacing w:after="0" w:line="260" w:lineRule="auto"/>
        <w:rPr>
          <w:sz w:val="20"/>
          <w:szCs w:val="20"/>
          <w:color w:val="auto"/>
        </w:rPr>
      </w:pPr>
      <w:r>
        <w:rPr>
          <w:rFonts w:ascii="Arial" w:cs="Arial" w:eastAsia="Arial" w:hAnsi="Arial"/>
          <w:sz w:val="14"/>
          <w:szCs w:val="14"/>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79"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6"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 December 31, 2019 to $39.7 million for the year ended December 31, 2020 and from $7.9 million for the quarter ended March 31, 2020 to $15.4 million for the quarter ended March 31, 2021. As of March 31, 2021,</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we had cash, and cash equivalents of $79.5 million and marketable securities of $166.6 million. Based on our current business plans, we believe that the net proceeds from this offering, together with our existing cash and cash equivalents, will be sufficient for us to fund our operating expenses and capital expenditures requirements for the next 42 months after this filing.</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72" w:lineRule="exact"/>
        <w:rPr>
          <w:sz w:val="20"/>
          <w:szCs w:val="20"/>
          <w:color w:val="auto"/>
        </w:rPr>
      </w:pPr>
    </w:p>
    <w:p>
      <w:pPr>
        <w:jc w:val="both"/>
        <w:ind w:left="1240" w:right="1299"/>
        <w:spacing w:after="0" w:line="290"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9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8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94" w:lineRule="exact"/>
        <w:rPr>
          <w:sz w:val="20"/>
          <w:szCs w:val="20"/>
          <w:color w:val="auto"/>
        </w:rPr>
      </w:pPr>
    </w:p>
    <w:p>
      <w:pPr>
        <w:ind w:left="1240" w:right="1459"/>
        <w:spacing w:after="0" w:line="310" w:lineRule="auto"/>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82"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ownership, some of which are outside our control. Similar limitations will apply to our ability to carry forward any unused tax credits to offset future taxable income.</w:t>
      </w:r>
    </w:p>
    <w:p>
      <w:pPr>
        <w:spacing w:after="0" w:line="71" w:lineRule="exact"/>
        <w:rPr>
          <w:sz w:val="20"/>
          <w:szCs w:val="20"/>
          <w:color w:val="auto"/>
        </w:rPr>
      </w:pPr>
    </w:p>
    <w:p>
      <w:pPr>
        <w:ind w:left="1240" w:right="1599"/>
        <w:spacing w:after="0" w:line="290" w:lineRule="auto"/>
        <w:rPr>
          <w:sz w:val="20"/>
          <w:szCs w:val="20"/>
          <w:color w:val="auto"/>
        </w:rPr>
      </w:pPr>
      <w:r>
        <w:rPr>
          <w:rFonts w:ascii="Arial" w:cs="Arial" w:eastAsia="Arial" w:hAnsi="Arial"/>
          <w:sz w:val="14"/>
          <w:szCs w:val="14"/>
          <w:b w:val="1"/>
          <w:bCs w:val="1"/>
          <w:i w:val="1"/>
          <w:iCs w:val="1"/>
          <w:color w:val="auto"/>
        </w:rPr>
        <w:t>Our Option Agreement with Bayer HealthCare LLC may require us to sell certain of our product candidates, which may limit the value we could generate from our product candidates.</w:t>
      </w:r>
    </w:p>
    <w:p>
      <w:pPr>
        <w:spacing w:after="0" w:line="96"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8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For a more complete description of the Option Agreement, please see the section titled “Business —Licensing Partnerships and Collaborations—Bayer HealthCare LLC” in this prospectus.</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92" w:lineRule="exact"/>
        <w:rPr>
          <w:sz w:val="20"/>
          <w:szCs w:val="20"/>
          <w:color w:val="auto"/>
        </w:rPr>
      </w:pPr>
    </w:p>
    <w:p>
      <w:pPr>
        <w:ind w:left="1240" w:right="1279"/>
        <w:spacing w:after="0" w:line="310" w:lineRule="auto"/>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82"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8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3" w:lineRule="exact"/>
        <w:rPr>
          <w:sz w:val="20"/>
          <w:szCs w:val="20"/>
          <w:color w:val="auto"/>
        </w:rPr>
      </w:pPr>
    </w:p>
    <w:p>
      <w:pPr>
        <w:ind w:left="1240" w:right="1299"/>
        <w:spacing w:after="0" w:line="290" w:lineRule="auto"/>
        <w:rPr>
          <w:sz w:val="20"/>
          <w:szCs w:val="20"/>
          <w:color w:val="auto"/>
        </w:rPr>
      </w:pPr>
      <w:r>
        <w:rPr>
          <w:rFonts w:ascii="Arial" w:cs="Arial" w:eastAsia="Arial" w:hAnsi="Arial"/>
          <w:sz w:val="14"/>
          <w:szCs w:val="14"/>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96"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91"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97"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The clinical and commercial success of our product candidates will depend on several factors, including the following:</w:t>
      </w:r>
    </w:p>
    <w:p>
      <w:pPr>
        <w:spacing w:after="0" w:line="66" w:lineRule="exact"/>
        <w:rPr>
          <w:sz w:val="20"/>
          <w:szCs w:val="20"/>
          <w:color w:val="auto"/>
        </w:rPr>
      </w:pPr>
    </w:p>
    <w:p>
      <w:pPr>
        <w:ind w:left="1360" w:right="15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timely and successful completion of preclinical studies, including toxicology studies, biodistribution studies, and minimally efficacious dose studies in animals, where applicable;</w:t>
      </w:r>
    </w:p>
    <w:p>
      <w:pPr>
        <w:spacing w:after="0" w:line="7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INDs or comparable foreign applications that allow commencement of our planned clinical trials or future clinical trials for our product candidates;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successful enrollment and completion of clinical trials, including under the FDA’s current Good Clinical Practices, or cGCPs, and current Good Laboratory Practices, or GLPs;</w:t>
      </w:r>
    </w:p>
    <w:p>
      <w:pPr>
        <w:spacing w:after="0" w:line="66" w:lineRule="exact"/>
        <w:rPr>
          <w:rFonts w:ascii="Arial" w:cs="Arial" w:eastAsia="Arial" w:hAnsi="Arial"/>
          <w:sz w:val="14"/>
          <w:szCs w:val="14"/>
          <w:color w:val="auto"/>
        </w:rPr>
      </w:pPr>
    </w:p>
    <w:p>
      <w:pPr>
        <w:ind w:left="1360" w:right="1499" w:hanging="111"/>
        <w:spacing w:after="0" w:line="291"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positive results from our future clinical programs that support a finding of safety and effectiveness and an acceptable risk-benefit profile of our product candidates in the intended populations;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receipt of marketing approvals from applicable regulatory authorities;</w:t>
      </w:r>
    </w:p>
    <w:p>
      <w:pPr>
        <w:spacing w:after="0" w:line="10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of arrangements with CMOs for clinical supply and, where applicable, commercial manufacturing capabilities;</w:t>
      </w:r>
    </w:p>
    <w:p>
      <w:pPr>
        <w:spacing w:after="0" w:line="66"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and/or regulatory exclusivity for our product candidates;</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commercial launch of our product candidates, if approved, whether alone or in collaboration with others;</w:t>
      </w:r>
    </w:p>
    <w:p>
      <w:pPr>
        <w:spacing w:after="0" w:line="66" w:lineRule="exact"/>
        <w:rPr>
          <w:rFonts w:ascii="Arial" w:cs="Arial" w:eastAsia="Arial" w:hAnsi="Arial"/>
          <w:sz w:val="14"/>
          <w:szCs w:val="14"/>
          <w:color w:val="auto"/>
        </w:rPr>
      </w:pPr>
    </w:p>
    <w:p>
      <w:pPr>
        <w:ind w:left="1360" w:right="1719" w:hanging="111"/>
        <w:spacing w:after="0" w:line="278"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acceptance of the benefits and use of our product candidates, including method of administration, if and when approved, by patients, the medical community, and third-party payors;</w:t>
      </w:r>
    </w:p>
    <w:p>
      <w:pPr>
        <w:spacing w:after="0" w:line="83"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competition with other therapies;</w:t>
      </w:r>
    </w:p>
    <w:p>
      <w:pPr>
        <w:spacing w:after="0" w:line="106" w:lineRule="exact"/>
        <w:rPr>
          <w:rFonts w:ascii="Arial" w:cs="Arial" w:eastAsia="Arial" w:hAnsi="Arial"/>
          <w:sz w:val="14"/>
          <w:szCs w:val="14"/>
          <w:color w:val="auto"/>
        </w:rPr>
      </w:pPr>
    </w:p>
    <w:p>
      <w:pPr>
        <w:ind w:left="1360" w:right="1679" w:hanging="111"/>
        <w:spacing w:after="0" w:line="278"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and maintenance of healthcare coverage and adequate reimbursement and patients’ willingness to pay out-of-pocket in the absence of such coverage and adequate reimbursement;</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establishment of a physician training system and network for administration of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enforcement and defense of intellectual property rights and claims; and</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maintenance of a continued acceptable safety, tolerability, and efficacy profile of our product candidates following approval.</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b w:val="1"/>
          <w:bCs w:val="1"/>
          <w:i w:val="1"/>
          <w:iCs w:val="1"/>
          <w:color w:val="auto"/>
        </w:rPr>
        <w:t>Our business is highly dependent on the success of our lead product candidate, CNTY-101 and our other product candidates.</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13"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7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94" w:lineRule="exact"/>
        <w:rPr>
          <w:sz w:val="20"/>
          <w:szCs w:val="20"/>
          <w:color w:val="auto"/>
        </w:rPr>
      </w:pPr>
    </w:p>
    <w:p>
      <w:pPr>
        <w:ind w:left="1240" w:right="1759"/>
        <w:spacing w:after="0" w:line="310" w:lineRule="auto"/>
        <w:rPr>
          <w:sz w:val="20"/>
          <w:szCs w:val="20"/>
          <w:color w:val="auto"/>
        </w:rPr>
      </w:pPr>
      <w:r>
        <w:rPr>
          <w:rFonts w:ascii="Arial" w:cs="Arial" w:eastAsia="Arial" w:hAnsi="Arial"/>
          <w:sz w:val="14"/>
          <w:szCs w:val="14"/>
          <w:b w:val="1"/>
          <w:bCs w:val="1"/>
          <w:i w:val="1"/>
          <w:iCs w:val="1"/>
          <w:color w:val="auto"/>
        </w:rPr>
        <w:t>Our business depends upon the success of our iPSC-derived allogeneic cell therapy platforms.</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83"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84" w:lineRule="exact"/>
        <w:rPr>
          <w:sz w:val="20"/>
          <w:szCs w:val="20"/>
          <w:color w:val="auto"/>
        </w:rPr>
      </w:pPr>
    </w:p>
    <w:p>
      <w:pPr>
        <w:jc w:val="both"/>
        <w:ind w:left="1240" w:right="1599"/>
        <w:spacing w:after="0" w:line="274" w:lineRule="auto"/>
        <w:rPr>
          <w:sz w:val="20"/>
          <w:szCs w:val="20"/>
          <w:color w:val="auto"/>
        </w:rPr>
      </w:pPr>
      <w:r>
        <w:rPr>
          <w:rFonts w:ascii="Arial" w:cs="Arial" w:eastAsia="Arial" w:hAnsi="Arial"/>
          <w:sz w:val="14"/>
          <w:szCs w:val="14"/>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9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57" w:lineRule="exact"/>
        <w:rPr>
          <w:sz w:val="20"/>
          <w:szCs w:val="20"/>
          <w:color w:val="auto"/>
        </w:rPr>
      </w:pPr>
    </w:p>
    <w:p>
      <w:pPr>
        <w:ind w:left="1360" w:right="125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developing a manufacturing process to produce our cells on a large scale and in a cost-effective manner;</w:t>
      </w:r>
    </w:p>
    <w:p>
      <w:pPr>
        <w:spacing w:after="0" w:line="55"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educating medical personnel regarding the potential side-effect profile of our cells and, as the clinical program progresses, on any observed side effects with the therapy;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unanticipated technical limitations of our CRISPR-MAD7 gene editing technology; and</w:t>
      </w:r>
    </w:p>
    <w:p>
      <w:pPr>
        <w:spacing w:after="0" w:line="9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establishing sales and marketing capabilities, as well as developing a distribution network to support the commercialization of any approved products.</w:t>
      </w:r>
    </w:p>
    <w:p>
      <w:pPr>
        <w:spacing w:after="0" w:line="87" w:lineRule="exact"/>
        <w:rPr>
          <w:sz w:val="20"/>
          <w:szCs w:val="20"/>
          <w:color w:val="auto"/>
        </w:rPr>
      </w:pPr>
    </w:p>
    <w:p>
      <w:pPr>
        <w:ind w:left="1240" w:right="1519"/>
        <w:spacing w:after="0" w:line="270" w:lineRule="auto"/>
        <w:rPr>
          <w:sz w:val="20"/>
          <w:szCs w:val="20"/>
          <w:color w:val="auto"/>
        </w:rPr>
      </w:pPr>
      <w:r>
        <w:rPr>
          <w:rFonts w:ascii="Arial" w:cs="Arial" w:eastAsia="Arial" w:hAnsi="Arial"/>
          <w:sz w:val="14"/>
          <w:szCs w:val="14"/>
          <w:color w:val="auto"/>
        </w:rPr>
        <w:t>We must be able to overcome these challenges in order for us to develop, commercialize, and manufacture our product candidates utilizing CAR-iNK and CAR-iT cells.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have not yet demonstrated long-term stability of cryopreserved CAR-iNK cells.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34"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92"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08" w:lineRule="exact"/>
        <w:rPr>
          <w:sz w:val="20"/>
          <w:szCs w:val="20"/>
          <w:color w:val="auto"/>
        </w:rPr>
      </w:pPr>
    </w:p>
    <w:p>
      <w:pPr>
        <w:ind w:left="1240" w:right="1559"/>
        <w:spacing w:after="0" w:line="262" w:lineRule="auto"/>
        <w:rPr>
          <w:sz w:val="20"/>
          <w:szCs w:val="20"/>
          <w:color w:val="auto"/>
        </w:rPr>
      </w:pPr>
      <w:r>
        <w:rPr>
          <w:rFonts w:ascii="Arial" w:cs="Arial" w:eastAsia="Arial" w:hAnsi="Arial"/>
          <w:sz w:val="14"/>
          <w:szCs w:val="14"/>
          <w:b w:val="1"/>
          <w:bCs w:val="1"/>
          <w:i w:val="1"/>
          <w:iCs w:val="1"/>
          <w:color w:val="auto"/>
        </w:rPr>
        <w:t>Our product candidates for which we intend to seek approval as biologic products may face competition sooner than anticipated.</w:t>
      </w:r>
    </w:p>
    <w:p>
      <w:pPr>
        <w:spacing w:after="0" w:line="8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5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0" w:lineRule="exact"/>
        <w:rPr>
          <w:sz w:val="20"/>
          <w:szCs w:val="20"/>
          <w:color w:val="auto"/>
        </w:rPr>
      </w:pPr>
    </w:p>
    <w:p>
      <w:pPr>
        <w:ind w:left="1240" w:right="1679"/>
        <w:spacing w:after="0" w:line="259" w:lineRule="auto"/>
        <w:rPr>
          <w:sz w:val="20"/>
          <w:szCs w:val="20"/>
          <w:color w:val="auto"/>
        </w:rPr>
      </w:pPr>
      <w:r>
        <w:rPr>
          <w:rFonts w:ascii="Arial" w:cs="Arial" w:eastAsia="Arial" w:hAnsi="Arial"/>
          <w:sz w:val="14"/>
          <w:szCs w:val="14"/>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95" w:lineRule="exact"/>
        <w:rPr>
          <w:sz w:val="20"/>
          <w:szCs w:val="20"/>
          <w:color w:val="auto"/>
        </w:rPr>
      </w:pPr>
    </w:p>
    <w:p>
      <w:pPr>
        <w:jc w:val="both"/>
        <w:ind w:left="1240" w:right="1499"/>
        <w:spacing w:after="0" w:line="263"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clinical candidates are approved for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34" w:lineRule="exact"/>
        <w:rPr>
          <w:sz w:val="20"/>
          <w:szCs w:val="20"/>
          <w:color w:val="auto"/>
        </w:rPr>
      </w:pPr>
    </w:p>
    <w:p>
      <w:pPr>
        <w:ind w:left="1240" w:right="1419"/>
        <w:spacing w:after="0" w:line="237" w:lineRule="auto"/>
        <w:rPr>
          <w:sz w:val="20"/>
          <w:szCs w:val="20"/>
          <w:color w:val="auto"/>
        </w:rPr>
      </w:pPr>
      <w:r>
        <w:rPr>
          <w:rFonts w:ascii="Arial" w:cs="Arial" w:eastAsia="Arial" w:hAnsi="Arial"/>
          <w:sz w:val="14"/>
          <w:szCs w:val="14"/>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9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1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7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98"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84" w:lineRule="exact"/>
        <w:rPr>
          <w:sz w:val="20"/>
          <w:szCs w:val="20"/>
          <w:color w:val="auto"/>
        </w:rPr>
      </w:pPr>
    </w:p>
    <w:p>
      <w:pPr>
        <w:ind w:left="1360" w:right="169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the FDA, or ethics committees may not authorize us or our investigators to commence a clinical trial or conduct a clinical trial at a prospective trial site;</w:t>
      </w:r>
    </w:p>
    <w:p>
      <w:pPr>
        <w:spacing w:after="0" w:line="61"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06" w:lineRule="exact"/>
        <w:rPr>
          <w:rFonts w:ascii="Arial" w:cs="Arial" w:eastAsia="Arial" w:hAnsi="Arial"/>
          <w:sz w:val="14"/>
          <w:szCs w:val="14"/>
          <w:color w:val="auto"/>
        </w:rPr>
      </w:pPr>
    </w:p>
    <w:p>
      <w:pPr>
        <w:ind w:left="1360" w:right="1359" w:hanging="111"/>
        <w:spacing w:after="0" w:line="281"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48" w:lineRule="exact"/>
        <w:rPr>
          <w:rFonts w:ascii="Arial" w:cs="Arial" w:eastAsia="Arial" w:hAnsi="Arial"/>
          <w:sz w:val="14"/>
          <w:szCs w:val="14"/>
          <w:color w:val="auto"/>
        </w:rPr>
      </w:pPr>
    </w:p>
    <w:p>
      <w:pPr>
        <w:ind w:left="1360" w:right="1379" w:hanging="111"/>
        <w:spacing w:after="0" w:line="276"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79" w:hanging="111"/>
        <w:spacing w:after="0" w:line="281"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48"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clinical trials of any of our product candidates may be greater than we anticipate;</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of our product candidates or other materials necessary to conduct clinical trials of our product candidates may be inadequate to initiate or complete a given clinical trial;</w:t>
      </w:r>
    </w:p>
    <w:p>
      <w:pPr>
        <w:spacing w:after="0" w:line="66" w:lineRule="exact"/>
        <w:rPr>
          <w:rFonts w:ascii="Arial" w:cs="Arial" w:eastAsia="Arial" w:hAnsi="Arial"/>
          <w:sz w:val="14"/>
          <w:szCs w:val="14"/>
          <w:color w:val="auto"/>
        </w:rPr>
      </w:pPr>
    </w:p>
    <w:p>
      <w:pPr>
        <w:ind w:left="1360" w:right="1599" w:hanging="111"/>
        <w:spacing w:after="0" w:line="263"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inability to manufacture sufficient quantities of our product candidates for use in clinical trials;</w:t>
      </w:r>
    </w:p>
    <w:p>
      <w:pPr>
        <w:spacing w:after="0" w:line="273"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reports from clinical testing of other therapies may raise safety or efficacy concerns about our product candidates;</w:t>
      </w:r>
    </w:p>
    <w:p>
      <w:pPr>
        <w:spacing w:after="0" w:line="66" w:lineRule="exact"/>
        <w:rPr>
          <w:rFonts w:ascii="Arial" w:cs="Arial" w:eastAsia="Arial" w:hAnsi="Arial"/>
          <w:sz w:val="14"/>
          <w:szCs w:val="14"/>
          <w:color w:val="auto"/>
        </w:rPr>
      </w:pPr>
    </w:p>
    <w:p>
      <w:pPr>
        <w:jc w:val="both"/>
        <w:ind w:left="1360" w:right="1339" w:hanging="111"/>
        <w:spacing w:after="0" w:line="278"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83"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FDA or applicable foreign regulatory agencies may require us to submit additional data such as long-term toxicology studies, or impose other requirements before permitting us to initiate a clinical trial.</w:t>
      </w:r>
    </w:p>
    <w:p>
      <w:pPr>
        <w:spacing w:after="0" w:line="94"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13"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83"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33" w:lineRule="exact"/>
        <w:rPr>
          <w:sz w:val="20"/>
          <w:szCs w:val="20"/>
          <w:color w:val="auto"/>
        </w:rPr>
      </w:pPr>
    </w:p>
    <w:p>
      <w:pPr>
        <w:ind w:left="1240" w:right="1359"/>
        <w:spacing w:after="0"/>
        <w:rPr>
          <w:sz w:val="20"/>
          <w:szCs w:val="20"/>
          <w:color w:val="auto"/>
        </w:rPr>
      </w:pPr>
      <w:r>
        <w:rPr>
          <w:rFonts w:ascii="Arial" w:cs="Arial" w:eastAsia="Arial" w:hAnsi="Arial"/>
          <w:sz w:val="14"/>
          <w:szCs w:val="14"/>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2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12" w:lineRule="exact"/>
        <w:rPr>
          <w:sz w:val="20"/>
          <w:szCs w:val="20"/>
          <w:color w:val="auto"/>
        </w:rPr>
      </w:pPr>
    </w:p>
    <w:p>
      <w:pPr>
        <w:ind w:left="1240" w:right="1559"/>
        <w:spacing w:after="0" w:line="237"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8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84"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0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309"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not be able to file our INDs to commence clinical trials on the timelines we expect, and even if we are able to, the FDA may not permit us to proceed.</w:t>
      </w:r>
    </w:p>
    <w:p>
      <w:pPr>
        <w:spacing w:after="0" w:line="71"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We expect our pipeline to yield multiple INDs, including INDs for our CNTY-101, CNTY-103, and CNTY-102 product candidates from our iPSC-derived allogeneic cell therapy platforms. We cannot be sure that submission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309" w:lineRule="exact"/>
        <w:rPr>
          <w:sz w:val="20"/>
          <w:szCs w:val="20"/>
          <w:color w:val="auto"/>
        </w:rPr>
      </w:pPr>
    </w:p>
    <w:p>
      <w:pPr>
        <w:ind w:left="1240" w:right="1279"/>
        <w:spacing w:after="0" w:line="231" w:lineRule="auto"/>
        <w:rPr>
          <w:sz w:val="20"/>
          <w:szCs w:val="20"/>
          <w:color w:val="auto"/>
        </w:rPr>
      </w:pPr>
      <w:r>
        <w:rPr>
          <w:rFonts w:ascii="Arial" w:cs="Arial" w:eastAsia="Arial" w:hAnsi="Arial"/>
          <w:sz w:val="14"/>
          <w:szCs w:val="14"/>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99"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12" w:lineRule="exact"/>
        <w:rPr>
          <w:sz w:val="20"/>
          <w:szCs w:val="20"/>
          <w:color w:val="auto"/>
        </w:rPr>
      </w:pPr>
    </w:p>
    <w:p>
      <w:pPr>
        <w:ind w:left="1240" w:right="1559"/>
        <w:spacing w:after="0" w:line="243" w:lineRule="auto"/>
        <w:rPr>
          <w:sz w:val="20"/>
          <w:szCs w:val="20"/>
          <w:color w:val="auto"/>
        </w:rPr>
      </w:pPr>
      <w:r>
        <w:rPr>
          <w:rFonts w:ascii="Arial" w:cs="Arial" w:eastAsia="Arial" w:hAnsi="Arial"/>
          <w:sz w:val="14"/>
          <w:szCs w:val="14"/>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12"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87" w:lineRule="exact"/>
        <w:rPr>
          <w:sz w:val="20"/>
          <w:szCs w:val="20"/>
          <w:color w:val="auto"/>
        </w:rPr>
      </w:pPr>
    </w:p>
    <w:p>
      <w:pPr>
        <w:ind w:left="1240" w:right="1299"/>
        <w:spacing w:after="0" w:line="268" w:lineRule="auto"/>
        <w:rPr>
          <w:sz w:val="20"/>
          <w:szCs w:val="20"/>
          <w:color w:val="auto"/>
        </w:rPr>
      </w:pPr>
      <w:r>
        <w:rPr>
          <w:rFonts w:ascii="Arial" w:cs="Arial" w:eastAsia="Arial" w:hAnsi="Arial"/>
          <w:sz w:val="14"/>
          <w:szCs w:val="14"/>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00"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06"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7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83"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52" w:lineRule="exact"/>
        <w:rPr>
          <w:sz w:val="20"/>
          <w:szCs w:val="20"/>
          <w:color w:val="auto"/>
        </w:rPr>
      </w:pPr>
    </w:p>
    <w:p>
      <w:pPr>
        <w:ind w:left="1360" w:right="155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authorities may request that we recall or withdraw the product from the market or may limit the approval of the product through labeling or other means;</w:t>
      </w:r>
    </w:p>
    <w:p>
      <w:pPr>
        <w:spacing w:after="0" w:line="55"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 or a precaution;</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distributed or administered, conduct additional clinical trials, or change the labeling of the product;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decide to recall or remove the product from the marketplace;</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59" w:hanging="111"/>
        <w:spacing w:after="0" w:line="286" w:lineRule="auto"/>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could be sued and/or held liable for injury caused to individuals exposed to or taking our product candidates;</w:t>
      </w:r>
    </w:p>
    <w:p>
      <w:pPr>
        <w:spacing w:after="0" w:line="33"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damage to the public perception of the safety of CNTY-101 or our other product candidates; and</w:t>
      </w:r>
    </w:p>
    <w:p>
      <w:pPr>
        <w:spacing w:after="0" w:line="74"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17"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3"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9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311" w:lineRule="exact"/>
        <w:rPr>
          <w:sz w:val="20"/>
          <w:szCs w:val="20"/>
          <w:color w:val="auto"/>
        </w:rPr>
      </w:pPr>
    </w:p>
    <w:p>
      <w:pPr>
        <w:ind w:left="1240" w:right="1839"/>
        <w:spacing w:after="0" w:line="262" w:lineRule="auto"/>
        <w:rPr>
          <w:sz w:val="20"/>
          <w:szCs w:val="20"/>
          <w:color w:val="auto"/>
        </w:rPr>
      </w:pPr>
      <w:r>
        <w:rPr>
          <w:rFonts w:ascii="Arial" w:cs="Arial" w:eastAsia="Arial" w:hAnsi="Arial"/>
          <w:sz w:val="14"/>
          <w:szCs w:val="14"/>
          <w:b w:val="1"/>
          <w:bCs w:val="1"/>
          <w:i w:val="1"/>
          <w:iCs w:val="1"/>
          <w:color w:val="auto"/>
        </w:rPr>
        <w:t>Our research and development activities could be affected or delayed as a result of possible restrictions on animal testing.</w:t>
      </w:r>
    </w:p>
    <w:p>
      <w:pPr>
        <w:spacing w:after="0" w:line="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06"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 frames we announce and expect, the commercialization of our products may be delayed.</w:t>
      </w:r>
    </w:p>
    <w:p>
      <w:pPr>
        <w:spacing w:after="0" w:line="7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134" w:lineRule="exact"/>
        <w:rPr>
          <w:sz w:val="20"/>
          <w:szCs w:val="20"/>
          <w:color w:val="auto"/>
        </w:rPr>
      </w:pPr>
    </w:p>
    <w:p>
      <w:pPr>
        <w:ind w:left="1240" w:right="1279"/>
        <w:spacing w:after="0" w:line="234" w:lineRule="auto"/>
        <w:rPr>
          <w:sz w:val="20"/>
          <w:szCs w:val="20"/>
          <w:color w:val="auto"/>
        </w:rPr>
      </w:pPr>
      <w:r>
        <w:rPr>
          <w:rFonts w:ascii="Arial" w:cs="Arial" w:eastAsia="Arial" w:hAnsi="Arial"/>
          <w:sz w:val="14"/>
          <w:szCs w:val="14"/>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88"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99"/>
        <w:spacing w:after="0" w:line="270" w:lineRule="auto"/>
        <w:rPr>
          <w:sz w:val="20"/>
          <w:szCs w:val="20"/>
          <w:color w:val="auto"/>
        </w:rPr>
      </w:pPr>
      <w:r>
        <w:rPr>
          <w:rFonts w:ascii="Arial" w:cs="Arial" w:eastAsia="Arial" w:hAnsi="Arial"/>
          <w:sz w:val="14"/>
          <w:szCs w:val="14"/>
          <w:color w:val="auto"/>
        </w:rPr>
        <w:t>regulatory agencies, or unanticipated events during our preclinical studies or clinical trials may force us to terminate or adjust our development program.</w:t>
      </w:r>
    </w:p>
    <w:p>
      <w:pPr>
        <w:spacing w:after="0" w:line="8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8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09"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09"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7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240" w:right="1299"/>
        <w:spacing w:after="0" w:line="243"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95"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8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8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95"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8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73"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04" w:lineRule="exact"/>
        <w:rPr>
          <w:sz w:val="20"/>
          <w:szCs w:val="20"/>
          <w:color w:val="auto"/>
        </w:rPr>
      </w:pPr>
    </w:p>
    <w:p>
      <w:pPr>
        <w:ind w:left="1240" w:right="1619"/>
        <w:spacing w:after="0" w:line="243"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04"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16"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6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4" w:lineRule="exact"/>
        <w:rPr>
          <w:sz w:val="20"/>
          <w:szCs w:val="20"/>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expenditure of substantial operational, financial and management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dilutive issuances of our securities;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substantial actual or contingent liabilities; and</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termination or expiration of the arrangement, which would delay the development and may increase the cost of developing our product candidates.</w:t>
      </w:r>
    </w:p>
    <w:p>
      <w:pPr>
        <w:spacing w:after="0" w:line="98"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7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manufacturing</w:t>
      </w:r>
    </w:p>
    <w:p>
      <w:pPr>
        <w:spacing w:after="0" w:line="156"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16"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89"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9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05" w:lineRule="exact"/>
        <w:rPr>
          <w:sz w:val="20"/>
          <w:szCs w:val="20"/>
          <w:color w:val="auto"/>
        </w:rPr>
      </w:pPr>
    </w:p>
    <w:p>
      <w:pPr>
        <w:ind w:left="1240" w:right="1359"/>
        <w:spacing w:after="0" w:line="232" w:lineRule="auto"/>
        <w:rPr>
          <w:sz w:val="20"/>
          <w:szCs w:val="20"/>
          <w:color w:val="auto"/>
        </w:rPr>
      </w:pPr>
      <w:r>
        <w:rPr>
          <w:rFonts w:ascii="Arial" w:cs="Arial" w:eastAsia="Arial" w:hAnsi="Arial"/>
          <w:sz w:val="14"/>
          <w:szCs w:val="14"/>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7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5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08" w:lineRule="exact"/>
        <w:rPr>
          <w:sz w:val="20"/>
          <w:szCs w:val="20"/>
          <w:color w:val="auto"/>
        </w:rPr>
      </w:pPr>
    </w:p>
    <w:p>
      <w:pPr>
        <w:ind w:left="1240" w:right="1479"/>
        <w:spacing w:after="0" w:line="243" w:lineRule="auto"/>
        <w:rPr>
          <w:sz w:val="20"/>
          <w:szCs w:val="20"/>
          <w:color w:val="auto"/>
        </w:rPr>
      </w:pPr>
      <w:r>
        <w:rPr>
          <w:rFonts w:ascii="Arial" w:cs="Arial" w:eastAsia="Arial" w:hAnsi="Arial"/>
          <w:sz w:val="14"/>
          <w:szCs w:val="14"/>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73"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We currently do not operate manufacturing facilities and rely on FCDI for the manufacture of our product candidates and CMOs for the manufacture of related raw materials for clinical and preclinical development. If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See “Business--Licensing, partnerships and collaboration— Fujifilm Cellular Dynamics, Inc.—Manufacturing and Supply Agreement” and “Business— Licensing, partnerships and collaboration—Fujifilm Cellular Dynamics, Inc.—Master Collaboration Agreement” for a description of our Manufacturing Agreement and Master Collaboration Agreement with FCDI. We are investing in the construction of our own 53,000 square foot cell therapy manufacturing facility in Branchburg, New Jersey, but there can be no assurance our manufacturing facility will become operational on schedule or at all.</w:t>
      </w:r>
    </w:p>
    <w:p>
      <w:pPr>
        <w:spacing w:after="0" w:line="27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54"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or a CMO’s failure to execute on our manufacturing requirements, to do so on commercially reasonable terms and comply with cGMP could adversely affect our business in a number of ways, including:</w:t>
      </w:r>
    </w:p>
    <w:p>
      <w:pPr>
        <w:spacing w:after="0" w:line="70" w:lineRule="exact"/>
        <w:rPr>
          <w:sz w:val="20"/>
          <w:szCs w:val="20"/>
          <w:color w:val="auto"/>
        </w:rPr>
      </w:pPr>
    </w:p>
    <w:p>
      <w:pPr>
        <w:ind w:left="1360" w:right="15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CNTY-101 or our other product candidates under development;</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55"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06" w:lineRule="exact"/>
        <w:rPr>
          <w:rFonts w:ascii="Arial" w:cs="Arial" w:eastAsia="Arial" w:hAnsi="Arial"/>
          <w:sz w:val="14"/>
          <w:szCs w:val="14"/>
          <w:color w:val="auto"/>
        </w:rPr>
      </w:pPr>
    </w:p>
    <w:p>
      <w:pPr>
        <w:ind w:left="1360" w:right="1799" w:hanging="111"/>
        <w:spacing w:after="0" w:line="278"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CNTY-101 or our other product candidates, an inability to meet commercial demands for CNTY-101 or our other product candidates.</w:t>
      </w:r>
    </w:p>
    <w:p>
      <w:pPr>
        <w:spacing w:after="0" w:line="8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06"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29" w:lineRule="exact"/>
        <w:rPr>
          <w:sz w:val="20"/>
          <w:szCs w:val="20"/>
          <w:color w:val="auto"/>
        </w:rPr>
      </w:pPr>
    </w:p>
    <w:p>
      <w:pPr>
        <w:jc w:val="both"/>
        <w:ind w:left="1240" w:right="1759"/>
        <w:spacing w:after="0" w:line="243" w:lineRule="auto"/>
        <w:rPr>
          <w:sz w:val="20"/>
          <w:szCs w:val="20"/>
          <w:color w:val="auto"/>
        </w:rPr>
      </w:pPr>
      <w:r>
        <w:rPr>
          <w:rFonts w:ascii="Arial" w:cs="Arial" w:eastAsia="Arial" w:hAnsi="Arial"/>
          <w:sz w:val="14"/>
          <w:szCs w:val="14"/>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05"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internal cGMP manufacturing is important to facilitate clinical product supply, lower the risk of manufacturing disruptions, and enable more cost-effective manufacturing. We believe our Branchburg, New Jersey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also may encounter problems with the following:</w:t>
      </w:r>
    </w:p>
    <w:p>
      <w:pPr>
        <w:spacing w:after="0" w:line="96" w:lineRule="exact"/>
        <w:rPr>
          <w:sz w:val="20"/>
          <w:szCs w:val="20"/>
          <w:color w:val="auto"/>
        </w:rPr>
      </w:pPr>
    </w:p>
    <w:p>
      <w:pPr>
        <w:ind w:left="1360" w:right="169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complying with regulations regarding donor traceability, manufacturing, release of product candidates and other requirements from regulatory authorities outside the United States;</w:t>
      </w:r>
    </w:p>
    <w:p>
      <w:pPr>
        <w:spacing w:after="0" w:line="66"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achieving adequate or clinical-grade materials that meet regulatory agency standards or specifications with consistent and acceptable production yield and costs;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bacterial, fungal, or viral contamination in our manufacturing facility;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shortages of qualified personnel, raw materials, or key contractors.</w:t>
      </w:r>
    </w:p>
    <w:p>
      <w:pPr>
        <w:spacing w:after="0" w:line="12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34"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We are dependent on third parties to store our CAR-iNK and CAR-iT cells and master and working cell banks of the engineered iPSC cells.</w:t>
      </w:r>
    </w:p>
    <w:p>
      <w:pPr>
        <w:spacing w:after="0" w:line="8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56" w:lineRule="exact"/>
        <w:rPr>
          <w:sz w:val="20"/>
          <w:szCs w:val="20"/>
          <w:color w:val="auto"/>
        </w:rPr>
      </w:pPr>
    </w:p>
    <w:p>
      <w:pPr>
        <w:ind w:left="1240" w:right="1499"/>
        <w:spacing w:after="0" w:line="243" w:lineRule="auto"/>
        <w:rPr>
          <w:sz w:val="20"/>
          <w:szCs w:val="20"/>
          <w:color w:val="auto"/>
        </w:rPr>
      </w:pPr>
      <w:r>
        <w:rPr>
          <w:rFonts w:ascii="Arial" w:cs="Arial" w:eastAsia="Arial" w:hAnsi="Arial"/>
          <w:sz w:val="14"/>
          <w:szCs w:val="14"/>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05"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9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whether alone or in collaboration with others;</w:t>
      </w:r>
    </w:p>
    <w:p>
      <w:pPr>
        <w:spacing w:after="0" w:line="66"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receiving an approved label with claims that are necessary or desirable for successful marketing, and that does not contain safety or other limitations that would impede our ability to market our product candidates;</w:t>
      </w:r>
    </w:p>
    <w:p>
      <w:pPr>
        <w:spacing w:after="0" w:line="61"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creating market demand for our product candidates through marketing, sales, and promotion activities;</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hiring, training, and deploying a sales force or contracting with third parties to commercialize our product candidates;</w:t>
      </w:r>
    </w:p>
    <w:p>
      <w:pPr>
        <w:spacing w:after="0" w:line="66"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manufacturing, either on our own or through third parties, product candidates in sufficient quantities and at acceptable quality and cost to meet commercial demand at launch and thereafter;</w:t>
      </w:r>
    </w:p>
    <w:p>
      <w:pPr>
        <w:spacing w:after="0" w:line="72"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establishing and maintaining agreements with wholesalers, distributors, and group purchasing organizations on commercially reasonable terms;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creating partnerships with, or offering licenses to, third parties to promote and sell product candidates in foreign markets where we receive marketing approval;</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obtaining, maintaining, protecting, and enforcing patent and trade secret protection and regulatory exclusivity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achieving market acceptance of our product candidates by patients, the medical community, and third-party payors;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achieving appropriate reimbursement for our product candidates;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maintaining an acceptable tolerability profile of our product candidates following launch.</w:t>
      </w:r>
    </w:p>
    <w:p>
      <w:pPr>
        <w:spacing w:after="0" w:line="128"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To the extent we are not able to do any of the foregoing, our business, financial condition, results of operations, and prospects will be materially harmed.</w:t>
      </w:r>
    </w:p>
    <w:p>
      <w:pPr>
        <w:spacing w:after="0" w:line="125" w:lineRule="exact"/>
        <w:rPr>
          <w:sz w:val="20"/>
          <w:szCs w:val="20"/>
          <w:color w:val="auto"/>
        </w:rPr>
      </w:pPr>
    </w:p>
    <w:p>
      <w:pPr>
        <w:ind w:left="1240" w:right="1419"/>
        <w:spacing w:after="0" w:line="243"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0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9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9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10"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We expect to face uncertainty regarding the pricing of our existing product candidates and any other product candidates that we may develop.</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8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08" w:lineRule="exact"/>
        <w:rPr>
          <w:sz w:val="20"/>
          <w:szCs w:val="20"/>
          <w:color w:val="auto"/>
        </w:rPr>
      </w:pPr>
    </w:p>
    <w:p>
      <w:pPr>
        <w:ind w:left="1240" w:right="1579"/>
        <w:spacing w:after="0" w:line="243"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95"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10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305"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Even if we obtain regulatory and marketing approval for a product candidate, our product candidates will remain subject to regulatory oversight.</w:t>
      </w:r>
    </w:p>
    <w:p>
      <w:pPr>
        <w:spacing w:after="0" w:line="9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8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81"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If we or our contractors fail to comply with applicable regulatory requirements following approval of CNTY-101 or our other product candidates, a regulatory authority may:</w:t>
      </w:r>
    </w:p>
    <w:p>
      <w:pPr>
        <w:spacing w:after="0" w:line="66" w:lineRule="exact"/>
        <w:rPr>
          <w:sz w:val="20"/>
          <w:szCs w:val="20"/>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issue a warning letter asserting that we are in violation of the law;</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request voluntary product recalls;</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seek an injunction or impose administrative, civil, or criminal penalties or monetary fines;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1" w:lineRule="exact"/>
        <w:rPr>
          <w:rFonts w:ascii="Arial" w:cs="Arial" w:eastAsia="Arial" w:hAnsi="Arial"/>
          <w:sz w:val="14"/>
          <w:szCs w:val="14"/>
          <w:color w:val="auto"/>
        </w:rPr>
      </w:pPr>
    </w:p>
    <w:p>
      <w:pPr>
        <w:ind w:left="1360" w:right="1979" w:hanging="111"/>
        <w:spacing w:after="0" w:line="271"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approve a pending BLA or comparable foreign marketing application (or any supplements thereto);</w:t>
      </w: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restrict the marketing or manufacturing of the product;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seize or detain the product or otherwise require the withdrawal of the product from the market;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permit the import or export of product candidates; or</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refuse to allow us to enter into supply contracts, including government contracts.</w:t>
      </w:r>
    </w:p>
    <w:p>
      <w:pPr>
        <w:spacing w:after="0" w:line="139"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301"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we may not achieve broad market acceptance.</w:t>
      </w:r>
    </w:p>
    <w:p>
      <w:pPr>
        <w:spacing w:after="0" w:line="104"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56" w:lineRule="exact"/>
        <w:rPr>
          <w:sz w:val="20"/>
          <w:szCs w:val="20"/>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 candidates;</w:t>
      </w:r>
    </w:p>
    <w:p>
      <w:pPr>
        <w:spacing w:after="0" w:line="10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comparable foreign regulatory authority, such as a “black box” warning;</w:t>
      </w:r>
    </w:p>
    <w:p>
      <w:pPr>
        <w:spacing w:after="0" w:line="6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availability of alternative treatments, including any competitive therapies in development that could be approved or commercially launched prior to approval of our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66"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pricing;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payor acceptance;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impact of any future changes to the United States healthcare system;</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 and</w:t>
      </w:r>
    </w:p>
    <w:p>
      <w:pPr>
        <w:spacing w:after="0" w:line="106" w:lineRule="exact"/>
        <w:rPr>
          <w:rFonts w:ascii="Arial" w:cs="Arial" w:eastAsia="Arial" w:hAnsi="Arial"/>
          <w:sz w:val="14"/>
          <w:szCs w:val="14"/>
          <w:color w:val="auto"/>
        </w:rPr>
      </w:pPr>
    </w:p>
    <w:p>
      <w:pPr>
        <w:ind w:left="1360" w:right="1399" w:hanging="111"/>
        <w:spacing w:after="0" w:line="281"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7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23"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16"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 order to market any product outside of the United States, we must establish and comply with the numerous and varying safety, efficacy, and other regulatory requirements of other jurisdictions, including potential additional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310"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05"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94"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0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9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739"/>
        <w:spacing w:after="0" w:line="262" w:lineRule="auto"/>
        <w:rPr>
          <w:sz w:val="20"/>
          <w:szCs w:val="20"/>
          <w:color w:val="auto"/>
        </w:rPr>
      </w:pPr>
      <w:r>
        <w:rPr>
          <w:rFonts w:ascii="Arial" w:cs="Arial" w:eastAsia="Arial" w:hAnsi="Arial"/>
          <w:sz w:val="14"/>
          <w:szCs w:val="14"/>
          <w:b w:val="1"/>
          <w:bCs w:val="1"/>
          <w:i w:val="1"/>
          <w:iCs w:val="1"/>
          <w:color w:val="auto"/>
        </w:rPr>
        <w:t>If the market opportunities for our products are smaller than we believe they are, our revenue may be adversely affected, and our business may suffer.</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10"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2" w:lineRule="exact"/>
        <w:rPr>
          <w:sz w:val="20"/>
          <w:szCs w:val="20"/>
          <w:color w:val="auto"/>
        </w:rPr>
      </w:pPr>
    </w:p>
    <w:p>
      <w:pPr>
        <w:jc w:val="both"/>
        <w:ind w:left="1360" w:right="1379" w:hanging="111"/>
        <w:spacing w:after="0" w:line="278"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approval, and commercialization activities relating to CNTY-101 and our other product candidates, which may change from time to time;</w:t>
      </w:r>
    </w:p>
    <w:p>
      <w:pPr>
        <w:spacing w:after="0" w:line="72"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CNTY-101 and our other product candidates, if approved, and potential future drugs or biologics that compete with our products;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 of manufacturing CNTY-101 and our other product candidates, which may vary depending on the quantity of production and the terms of our agreements with CMOs;</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the licensors and other third parties from whom we have in-licensed or acquired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level of demand for any approved products, which may vary significantly;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59" w:hanging="111"/>
        <w:spacing w:after="0" w:line="286" w:lineRule="auto"/>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other change in the competitive landscape of our industry, including consolidation among our competitors or partners.</w:t>
      </w:r>
    </w:p>
    <w:p>
      <w:pPr>
        <w:spacing w:after="0" w:line="87" w:lineRule="exact"/>
        <w:rPr>
          <w:sz w:val="20"/>
          <w:szCs w:val="20"/>
          <w:color w:val="auto"/>
        </w:rPr>
      </w:pPr>
    </w:p>
    <w:p>
      <w:pPr>
        <w:ind w:left="1240" w:right="1259"/>
        <w:spacing w:after="0" w:line="292"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5"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14" w:lineRule="exact"/>
        <w:rPr>
          <w:sz w:val="20"/>
          <w:szCs w:val="20"/>
          <w:color w:val="auto"/>
        </w:rPr>
      </w:pPr>
    </w:p>
    <w:p>
      <w:pPr>
        <w:ind w:left="1240" w:right="1259"/>
        <w:spacing w:after="0" w:line="273" w:lineRule="auto"/>
        <w:rPr>
          <w:sz w:val="20"/>
          <w:szCs w:val="20"/>
          <w:color w:val="auto"/>
        </w:rPr>
      </w:pPr>
      <w:r>
        <w:rPr>
          <w:rFonts w:ascii="Arial" w:cs="Arial" w:eastAsia="Arial" w:hAnsi="Arial"/>
          <w:sz w:val="17"/>
          <w:szCs w:val="17"/>
          <w:b w:val="1"/>
          <w:bCs w:val="1"/>
          <w:color w:val="auto"/>
        </w:rPr>
        <w:t>Risks related to employee matters, managing growth and other risks related to our business</w:t>
      </w:r>
    </w:p>
    <w:p>
      <w:pPr>
        <w:spacing w:after="0" w:line="121"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07"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98" w:lineRule="exact"/>
        <w:rPr>
          <w:sz w:val="20"/>
          <w:szCs w:val="20"/>
          <w:color w:val="auto"/>
        </w:rPr>
      </w:pPr>
    </w:p>
    <w:p>
      <w:pPr>
        <w:ind w:left="1240" w:right="1319"/>
        <w:spacing w:after="0" w:line="289" w:lineRule="auto"/>
        <w:rPr>
          <w:sz w:val="20"/>
          <w:szCs w:val="20"/>
          <w:color w:val="auto"/>
        </w:rPr>
      </w:pPr>
      <w:r>
        <w:rPr>
          <w:rFonts w:ascii="Arial" w:cs="Arial" w:eastAsia="Arial" w:hAnsi="Arial"/>
          <w:sz w:val="14"/>
          <w:szCs w:val="14"/>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301"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939"/>
        <w:spacing w:after="0" w:line="262" w:lineRule="auto"/>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82"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of April 30, 2021, we had 107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84" w:lineRule="exact"/>
        <w:rPr>
          <w:sz w:val="20"/>
          <w:szCs w:val="20"/>
          <w:color w:val="auto"/>
        </w:rPr>
      </w:pPr>
    </w:p>
    <w:p>
      <w:pPr>
        <w:ind w:left="1360" w:hanging="111"/>
        <w:spacing w:after="0"/>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0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72" w:lineRule="exact"/>
        <w:rPr>
          <w:rFonts w:ascii="Arial" w:cs="Arial" w:eastAsia="Arial" w:hAnsi="Arial"/>
          <w:sz w:val="14"/>
          <w:szCs w:val="14"/>
          <w:color w:val="auto"/>
        </w:rPr>
      </w:pPr>
    </w:p>
    <w:p>
      <w:pPr>
        <w:ind w:left="1360" w:right="1899" w:hanging="111"/>
        <w:spacing w:after="0" w:line="286"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87"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97"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04" w:lineRule="exact"/>
        <w:rPr>
          <w:sz w:val="20"/>
          <w:szCs w:val="20"/>
          <w:color w:val="auto"/>
        </w:rPr>
      </w:pPr>
    </w:p>
    <w:p>
      <w:pPr>
        <w:jc w:val="both"/>
        <w:ind w:left="1240" w:right="1539"/>
        <w:spacing w:after="0" w:line="243" w:lineRule="auto"/>
        <w:rPr>
          <w:sz w:val="20"/>
          <w:szCs w:val="20"/>
          <w:color w:val="auto"/>
        </w:rPr>
      </w:pPr>
      <w:r>
        <w:rPr>
          <w:rFonts w:ascii="Arial" w:cs="Arial" w:eastAsia="Arial" w:hAnsi="Arial"/>
          <w:sz w:val="14"/>
          <w:szCs w:val="14"/>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0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29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Potential disruptions to our preclinical development efforts include, but are not limited to:</w:t>
      </w:r>
    </w:p>
    <w:p>
      <w:pPr>
        <w:spacing w:after="0" w:line="107" w:lineRule="exact"/>
        <w:rPr>
          <w:sz w:val="20"/>
          <w:szCs w:val="20"/>
          <w:color w:val="auto"/>
        </w:rPr>
      </w:pPr>
    </w:p>
    <w:p>
      <w:pPr>
        <w:ind w:left="1360" w:right="1339" w:hanging="111"/>
        <w:spacing w:after="0" w:line="278" w:lineRule="auto"/>
        <w:tabs>
          <w:tab w:leader="none" w:pos="1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72"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limitations on employee or other resources that would otherwise be focused on the conduct of our preclinical work, including because of sickness of employees or their families, the desire of employees to avoid travel or</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759"/>
        <w:spacing w:after="0" w:line="286" w:lineRule="auto"/>
        <w:rPr>
          <w:sz w:val="20"/>
          <w:szCs w:val="20"/>
          <w:color w:val="auto"/>
        </w:rPr>
      </w:pPr>
      <w:r>
        <w:rPr>
          <w:rFonts w:ascii="Arial" w:cs="Arial" w:eastAsia="Arial" w:hAnsi="Arial"/>
          <w:sz w:val="14"/>
          <w:szCs w:val="14"/>
          <w:color w:val="auto"/>
        </w:rPr>
        <w:t>contact with large groups of people, an increased reliance on working from home, school closures, or mass transit disruptions; and</w:t>
      </w:r>
    </w:p>
    <w:p>
      <w:pPr>
        <w:spacing w:after="0" w:line="77" w:lineRule="exact"/>
        <w:rPr>
          <w:sz w:val="20"/>
          <w:szCs w:val="20"/>
          <w:color w:val="auto"/>
        </w:rPr>
      </w:pPr>
    </w:p>
    <w:p>
      <w:pPr>
        <w:ind w:left="1360" w:right="1819" w:hanging="111"/>
        <w:spacing w:after="0" w:line="286" w:lineRule="auto"/>
        <w:tabs>
          <w:tab w:leader="none" w:pos="1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delays in necessary interactions with regulators, ethics committees, and other important agencies and contractors.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27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COVID-19 global pandemic continues to rapidly evolve. Although many countries, including certain countries in Europe and the United States, have re-opened,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05"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We have incurred indebtedness, and we may incur additional indebtedness, which could adversely affect our business.</w:t>
      </w:r>
    </w:p>
    <w:p>
      <w:pPr>
        <w:spacing w:after="0" w:line="104"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As of May 31, 2021, we had an outstanding balance of $10.0 million under our Loan and Security Agreement with Hercules Capital, Inc., or the Loan Agreement. Our indebtedness could have important consequences to our stockholders. For example, it:</w:t>
      </w:r>
    </w:p>
    <w:p>
      <w:pPr>
        <w:spacing w:after="0" w:line="72" w:lineRule="exact"/>
        <w:rPr>
          <w:sz w:val="20"/>
          <w:szCs w:val="20"/>
          <w:color w:val="auto"/>
        </w:rPr>
      </w:pPr>
    </w:p>
    <w:p>
      <w:pPr>
        <w:ind w:left="1360" w:hanging="111"/>
        <w:spacing w:after="0"/>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and industry conditions;</w:t>
      </w:r>
    </w:p>
    <w:p>
      <w:pPr>
        <w:spacing w:after="0" w:line="128"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83"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clinical trials, research and development, or other purposes.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304" w:lineRule="exact"/>
        <w:rPr>
          <w:sz w:val="20"/>
          <w:szCs w:val="20"/>
          <w:color w:val="auto"/>
        </w:rPr>
      </w:pPr>
    </w:p>
    <w:p>
      <w:pPr>
        <w:ind w:left="1240" w:right="1659"/>
        <w:spacing w:after="0" w:line="243" w:lineRule="auto"/>
        <w:rPr>
          <w:sz w:val="20"/>
          <w:szCs w:val="20"/>
          <w:color w:val="auto"/>
        </w:rPr>
      </w:pPr>
      <w:r>
        <w:rPr>
          <w:rFonts w:ascii="Arial" w:cs="Arial" w:eastAsia="Arial" w:hAnsi="Arial"/>
          <w:sz w:val="14"/>
          <w:szCs w:val="14"/>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299" w:hanging="111"/>
        <w:spacing w:after="0" w:line="273"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46" w:lineRule="exact"/>
        <w:rPr>
          <w:rFonts w:ascii="Arial" w:cs="Arial" w:eastAsia="Arial" w:hAnsi="Arial"/>
          <w:sz w:val="14"/>
          <w:szCs w:val="14"/>
          <w:color w:val="auto"/>
        </w:rPr>
      </w:pPr>
    </w:p>
    <w:p>
      <w:pPr>
        <w:ind w:left="1360" w:right="127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57" w:lineRule="exact"/>
        <w:rPr>
          <w:rFonts w:ascii="Arial" w:cs="Arial" w:eastAsia="Arial" w:hAnsi="Arial"/>
          <w:sz w:val="14"/>
          <w:szCs w:val="14"/>
          <w:color w:val="auto"/>
        </w:rPr>
      </w:pPr>
    </w:p>
    <w:p>
      <w:pPr>
        <w:ind w:left="1360" w:right="137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55" w:lineRule="exact"/>
        <w:rPr>
          <w:rFonts w:ascii="Arial" w:cs="Arial" w:eastAsia="Arial" w:hAnsi="Arial"/>
          <w:sz w:val="14"/>
          <w:szCs w:val="14"/>
          <w:color w:val="auto"/>
        </w:rPr>
      </w:pPr>
    </w:p>
    <w:p>
      <w:pPr>
        <w:ind w:left="1360" w:right="1299" w:hanging="111"/>
        <w:spacing w:after="0" w:line="274"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55" w:lineRule="exact"/>
        <w:rPr>
          <w:rFonts w:ascii="Arial" w:cs="Arial" w:eastAsia="Arial" w:hAnsi="Arial"/>
          <w:sz w:val="14"/>
          <w:szCs w:val="14"/>
          <w:color w:val="auto"/>
        </w:rPr>
      </w:pPr>
    </w:p>
    <w:p>
      <w:pPr>
        <w:ind w:left="1360" w:right="1439" w:hanging="111"/>
        <w:spacing w:after="0" w:line="273"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8" w:lineRule="exact"/>
        <w:rPr>
          <w:rFonts w:ascii="Arial" w:cs="Arial" w:eastAsia="Arial" w:hAnsi="Arial"/>
          <w:sz w:val="14"/>
          <w:szCs w:val="14"/>
          <w:color w:val="auto"/>
        </w:rPr>
      </w:pPr>
    </w:p>
    <w:p>
      <w:pPr>
        <w:jc w:val="both"/>
        <w:ind w:left="1360" w:right="1279" w:hanging="111"/>
        <w:spacing w:after="0" w:line="278"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61" w:lineRule="exact"/>
        <w:rPr>
          <w:rFonts w:ascii="Arial" w:cs="Arial" w:eastAsia="Arial" w:hAnsi="Arial"/>
          <w:sz w:val="14"/>
          <w:szCs w:val="14"/>
          <w:color w:val="auto"/>
        </w:rPr>
      </w:pPr>
    </w:p>
    <w:p>
      <w:pPr>
        <w:ind w:left="1360" w:right="1379" w:hanging="111"/>
        <w:spacing w:after="0" w:line="272"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58" w:lineRule="auto"/>
        <w:rPr>
          <w:sz w:val="20"/>
          <w:szCs w:val="20"/>
          <w:color w:val="auto"/>
        </w:rPr>
      </w:pPr>
      <w:r>
        <w:rPr>
          <w:rFonts w:ascii="Arial" w:cs="Arial" w:eastAsia="Arial" w:hAnsi="Arial"/>
          <w:sz w:val="14"/>
          <w:szCs w:val="14"/>
          <w:color w:val="auto"/>
        </w:rPr>
        <w:t>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0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308" w:lineRule="exact"/>
        <w:rPr>
          <w:sz w:val="20"/>
          <w:szCs w:val="20"/>
          <w:color w:val="auto"/>
        </w:rPr>
      </w:pPr>
    </w:p>
    <w:p>
      <w:pPr>
        <w:ind w:left="1240" w:right="1779"/>
        <w:spacing w:after="0" w:line="243" w:lineRule="auto"/>
        <w:rPr>
          <w:sz w:val="20"/>
          <w:szCs w:val="20"/>
          <w:color w:val="auto"/>
        </w:rPr>
      </w:pPr>
      <w:r>
        <w:rPr>
          <w:rFonts w:ascii="Arial" w:cs="Arial" w:eastAsia="Arial" w:hAnsi="Arial"/>
          <w:sz w:val="14"/>
          <w:szCs w:val="14"/>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8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and remanded the case to the Texas District Court to reconsider its earlier invalidation of the entire ACA. An appeal was taken to the U.S. Supreme Court which heard oral arguments in the case on November 10, 2020. A ruling is expected in 2021.</w:t>
      </w:r>
    </w:p>
    <w:p>
      <w:pPr>
        <w:spacing w:after="0" w:line="9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07"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106" w:lineRule="exact"/>
        <w:rPr>
          <w:sz w:val="20"/>
          <w:szCs w:val="20"/>
          <w:color w:val="auto"/>
        </w:rPr>
      </w:pPr>
    </w:p>
    <w:p>
      <w:pPr>
        <w:ind w:left="1240" w:right="1439"/>
        <w:spacing w:after="0" w:line="260" w:lineRule="auto"/>
        <w:rPr>
          <w:sz w:val="20"/>
          <w:szCs w:val="20"/>
          <w:color w:val="auto"/>
        </w:rPr>
      </w:pPr>
      <w:r>
        <w:rPr>
          <w:rFonts w:ascii="Arial" w:cs="Arial" w:eastAsia="Arial" w:hAnsi="Arial"/>
          <w:sz w:val="14"/>
          <w:szCs w:val="14"/>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95"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37"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over financial reporting our ability to produce accurate and timely financial statements could be impaired.</w:t>
      </w:r>
    </w:p>
    <w:p>
      <w:pPr>
        <w:spacing w:after="0" w:line="9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8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0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We believe that any internal controls and procedures, no matter how well-conceived and operated, can provide only reasonable, not absolute, assurance that the objectives of the control system are met. We may discover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37"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0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82" w:lineRule="exact"/>
        <w:rPr>
          <w:sz w:val="20"/>
          <w:szCs w:val="20"/>
          <w:color w:val="auto"/>
        </w:rPr>
      </w:pPr>
    </w:p>
    <w:p>
      <w:pPr>
        <w:ind w:left="1240" w:right="1519"/>
        <w:spacing w:after="0" w:line="25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4"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products.</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85"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significant negative financial impact;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inability to commercialize CNTY-101 or our other product candidates; and</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2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11"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19"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7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36" w:lineRule="exact"/>
        <w:rPr>
          <w:sz w:val="20"/>
          <w:szCs w:val="20"/>
          <w:color w:val="auto"/>
        </w:rPr>
      </w:pPr>
    </w:p>
    <w:p>
      <w:pPr>
        <w:ind w:left="1240" w:right="1419"/>
        <w:spacing w:after="0"/>
        <w:rPr>
          <w:sz w:val="20"/>
          <w:szCs w:val="20"/>
          <w:color w:val="auto"/>
        </w:rPr>
      </w:pPr>
      <w:r>
        <w:rPr>
          <w:rFonts w:ascii="Arial" w:cs="Arial" w:eastAsia="Arial" w:hAnsi="Arial"/>
          <w:sz w:val="14"/>
          <w:szCs w:val="14"/>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5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until June 30, 2021. This may be extended. After such period, the United Kingdom will be a “third country” under the GDPR unless the European Commission adopts an adequacy decision in respect of transfers of personal data to the United Kingdom.</w:t>
      </w:r>
    </w:p>
    <w:p>
      <w:pPr>
        <w:spacing w:after="0" w:line="28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11" w:lineRule="exact"/>
        <w:rPr>
          <w:sz w:val="20"/>
          <w:szCs w:val="20"/>
          <w:color w:val="auto"/>
        </w:rPr>
      </w:pPr>
    </w:p>
    <w:p>
      <w:pPr>
        <w:ind w:left="1240" w:right="1639"/>
        <w:spacing w:after="0" w:line="243"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1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63" w:lineRule="auto"/>
        <w:rPr>
          <w:sz w:val="20"/>
          <w:szCs w:val="20"/>
          <w:color w:val="auto"/>
        </w:rPr>
      </w:pPr>
      <w:r>
        <w:rPr>
          <w:rFonts w:ascii="Arial" w:cs="Arial" w:eastAsia="Arial" w:hAnsi="Arial"/>
          <w:sz w:val="14"/>
          <w:szCs w:val="14"/>
          <w:color w:val="auto"/>
        </w:rPr>
        <w:t>agreement, or similar agreement to resolve allegations of noncompliance with these laws, and curtailment of our operations, any of which could adversely affect our ability to operate our business and our results of operations.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2" w:lineRule="exact"/>
        <w:rPr>
          <w:sz w:val="20"/>
          <w:szCs w:val="20"/>
          <w:color w:val="auto"/>
        </w:rPr>
      </w:pPr>
    </w:p>
    <w:p>
      <w:pPr>
        <w:ind w:left="1240" w:right="1279"/>
        <w:spacing w:after="0" w:line="294" w:lineRule="auto"/>
        <w:rPr>
          <w:sz w:val="20"/>
          <w:szCs w:val="20"/>
          <w:color w:val="auto"/>
        </w:rPr>
      </w:pPr>
      <w:r>
        <w:rPr>
          <w:rFonts w:ascii="Arial" w:cs="Arial" w:eastAsia="Arial" w:hAnsi="Arial"/>
          <w:sz w:val="14"/>
          <w:szCs w:val="14"/>
          <w:b w:val="1"/>
          <w:bCs w:val="1"/>
          <w:i w:val="1"/>
          <w:iCs w:val="1"/>
          <w:color w:val="auto"/>
        </w:rPr>
        <w:t>We do not currently own any issued patents or non-provisional patent applications relating to our product candidates</w:t>
      </w:r>
      <w:r>
        <w:rPr>
          <w:rFonts w:ascii="Arial" w:cs="Arial" w:eastAsia="Arial" w:hAnsi="Arial"/>
          <w:sz w:val="14"/>
          <w:szCs w:val="14"/>
          <w:color w:val="auto"/>
        </w:rPr>
        <w:t>.</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09"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1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8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09"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agreements, or any future license agreements with any party, or we are subject to a bankruptcy, the licensor may have the right to terminate the license, in which event we would not be able to develop products covered by such license.</w:t>
      </w:r>
    </w:p>
    <w:p>
      <w:pPr>
        <w:spacing w:after="0" w:line="9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8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For a more complete description of the FCDI Licenses and our other licenses, please see the section titled “Business—Licensing, Partnerships and Collaborations” in this prospectus.</w:t>
      </w:r>
    </w:p>
    <w:p>
      <w:pPr>
        <w:spacing w:after="0" w:line="125" w:lineRule="exact"/>
        <w:rPr>
          <w:sz w:val="20"/>
          <w:szCs w:val="20"/>
          <w:color w:val="auto"/>
        </w:rPr>
      </w:pPr>
    </w:p>
    <w:p>
      <w:pPr>
        <w:ind w:left="1240" w:right="1579"/>
        <w:spacing w:after="0" w:line="262"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intellectual property rights in the future for the development of CNTY-101 and our other product candidates.</w:t>
      </w:r>
    </w:p>
    <w:p>
      <w:pPr>
        <w:spacing w:after="0" w:line="9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51" w:lineRule="exact"/>
        <w:rPr>
          <w:sz w:val="20"/>
          <w:szCs w:val="20"/>
          <w:color w:val="auto"/>
        </w:rPr>
      </w:pPr>
    </w:p>
    <w:p>
      <w:pPr>
        <w:ind w:left="1360" w:right="1299" w:hanging="111"/>
        <w:spacing w:after="0" w:line="27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73" w:lineRule="exact"/>
        <w:rPr>
          <w:rFonts w:ascii="Arial" w:cs="Arial" w:eastAsia="Arial" w:hAnsi="Arial"/>
          <w:sz w:val="14"/>
          <w:szCs w:val="14"/>
          <w:color w:val="auto"/>
        </w:rPr>
      </w:pPr>
    </w:p>
    <w:p>
      <w:pPr>
        <w:ind w:left="1360" w:right="1639" w:hanging="111"/>
        <w:spacing w:after="0" w:line="278"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of the licensor that is not subject to the licensing agreement;</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right to sublicense patents and other intellectual property rights to third parties;</w:t>
      </w:r>
    </w:p>
    <w:p>
      <w:pPr>
        <w:spacing w:after="0" w:line="96" w:lineRule="exact"/>
        <w:rPr>
          <w:rFonts w:ascii="Arial" w:cs="Arial" w:eastAsia="Arial" w:hAnsi="Arial"/>
          <w:sz w:val="14"/>
          <w:szCs w:val="14"/>
          <w:color w:val="auto"/>
        </w:rPr>
      </w:pPr>
    </w:p>
    <w:p>
      <w:pPr>
        <w:ind w:left="1360" w:right="1419" w:hanging="111"/>
        <w:spacing w:after="0" w:line="278"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right to transfer or assign the license; and</w:t>
      </w:r>
    </w:p>
    <w:p>
      <w:pPr>
        <w:spacing w:after="0" w:line="106" w:lineRule="exact"/>
        <w:rPr>
          <w:rFonts w:ascii="Arial" w:cs="Arial" w:eastAsia="Arial" w:hAnsi="Arial"/>
          <w:sz w:val="14"/>
          <w:szCs w:val="14"/>
          <w:color w:val="auto"/>
        </w:rPr>
      </w:pPr>
    </w:p>
    <w:p>
      <w:pPr>
        <w:ind w:left="1360" w:right="1479" w:hanging="111"/>
        <w:spacing w:after="0" w:line="28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ownership of inventions, know-how, and other intellectual property resulting from the joint creation or use of intellectual property by our licensors and us and our partners.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0"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9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1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289"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For a more complete description of the FCDI Licenses, please see the section titled “Business— License Agreements” in this prospectus.</w:t>
      </w:r>
    </w:p>
    <w:p>
      <w:pPr>
        <w:spacing w:after="0" w:line="114" w:lineRule="exact"/>
        <w:rPr>
          <w:sz w:val="20"/>
          <w:szCs w:val="20"/>
          <w:color w:val="auto"/>
        </w:rPr>
      </w:pPr>
    </w:p>
    <w:p>
      <w:pPr>
        <w:ind w:left="1240" w:right="2039"/>
        <w:spacing w:after="0" w:line="262" w:lineRule="auto"/>
        <w:rPr>
          <w:sz w:val="20"/>
          <w:szCs w:val="20"/>
          <w:color w:val="auto"/>
        </w:rPr>
      </w:pPr>
      <w:r>
        <w:rPr>
          <w:rFonts w:ascii="Arial" w:cs="Arial" w:eastAsia="Arial" w:hAnsi="Arial"/>
          <w:sz w:val="14"/>
          <w:szCs w:val="14"/>
          <w:b w:val="1"/>
          <w:bCs w:val="1"/>
          <w:i w:val="1"/>
          <w:iCs w:val="1"/>
          <w:color w:val="auto"/>
        </w:rPr>
        <w:t>Our success depends on our ability to obtain, maintain, protect, and enforce our intellectual property and our proprietary technologies.</w:t>
      </w:r>
    </w:p>
    <w:p>
      <w:pPr>
        <w:spacing w:after="0" w:line="9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05"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We cannot be certain that the claims in our pending patent applications will be considered patentable by the United States Patent and Trademark Office, or USPTO, courts in the United States or by the patent offices and courts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95"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84" w:lineRule="exact"/>
        <w:rPr>
          <w:sz w:val="20"/>
          <w:szCs w:val="20"/>
          <w:color w:val="auto"/>
        </w:rPr>
      </w:pPr>
    </w:p>
    <w:p>
      <w:pPr>
        <w:jc w:val="both"/>
        <w:ind w:left="1360" w:right="169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patent applications may not result in any patents being issued;</w:t>
      </w:r>
    </w:p>
    <w:p>
      <w:pPr>
        <w:spacing w:after="0" w:line="106" w:lineRule="exact"/>
        <w:rPr>
          <w:rFonts w:ascii="Arial" w:cs="Arial" w:eastAsia="Arial" w:hAnsi="Arial"/>
          <w:sz w:val="14"/>
          <w:szCs w:val="14"/>
          <w:color w:val="auto"/>
        </w:rPr>
      </w:pPr>
    </w:p>
    <w:p>
      <w:pPr>
        <w:ind w:left="1360" w:right="195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patents may be challenged, invalidated, modified, revoked, circumvented, found to be unenforceable, or otherwise may not provide any competitive advantage;</w:t>
      </w:r>
    </w:p>
    <w:p>
      <w:pPr>
        <w:spacing w:after="0" w:line="66"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73"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Arial" w:cs="Arial" w:eastAsia="Arial" w:hAnsi="Arial"/>
          <w:sz w:val="14"/>
          <w:szCs w:val="14"/>
          <w:color w:val="auto"/>
        </w:rPr>
      </w:pPr>
    </w:p>
    <w:p>
      <w:pPr>
        <w:ind w:left="1360" w:right="1459" w:hanging="111"/>
        <w:spacing w:after="0" w:line="278"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2"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07"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77"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93"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5"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7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by the government of such rights could harm our competitive position, business, financial condition, results of operations, and prospects.</w:t>
      </w:r>
    </w:p>
    <w:p>
      <w:pPr>
        <w:spacing w:after="0" w:line="88"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06" w:lineRule="exact"/>
        <w:rPr>
          <w:sz w:val="20"/>
          <w:szCs w:val="20"/>
          <w:color w:val="auto"/>
        </w:rPr>
      </w:pPr>
    </w:p>
    <w:p>
      <w:pPr>
        <w:ind w:left="1240" w:right="1999"/>
        <w:spacing w:after="0" w:line="262" w:lineRule="auto"/>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93"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1" w:lineRule="exact"/>
        <w:rPr>
          <w:sz w:val="20"/>
          <w:szCs w:val="20"/>
          <w:color w:val="auto"/>
        </w:rPr>
      </w:pPr>
    </w:p>
    <w:p>
      <w:pPr>
        <w:ind w:left="1360" w:right="159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others may be able to develop products that are similar to CNTY-101 and our other product candidates but that are not covered by the claims of the patents that we own or license;</w:t>
      </w:r>
    </w:p>
    <w:p>
      <w:pPr>
        <w:spacing w:after="0" w:line="55"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make the inventions covered by the issued patents or patent application that we own or license;</w:t>
      </w:r>
    </w:p>
    <w:p>
      <w:pPr>
        <w:spacing w:after="0" w:line="66" w:lineRule="exact"/>
        <w:rPr>
          <w:rFonts w:ascii="Arial" w:cs="Arial" w:eastAsia="Arial" w:hAnsi="Arial"/>
          <w:sz w:val="14"/>
          <w:szCs w:val="14"/>
          <w:color w:val="auto"/>
        </w:rPr>
      </w:pPr>
    </w:p>
    <w:p>
      <w:pPr>
        <w:ind w:left="1360" w:right="161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file patent applications covering certain of our inventions;</w:t>
      </w:r>
    </w:p>
    <w:p>
      <w:pPr>
        <w:spacing w:after="0" w:line="66" w:lineRule="exact"/>
        <w:rPr>
          <w:rFonts w:ascii="Arial" w:cs="Arial" w:eastAsia="Arial" w:hAnsi="Arial"/>
          <w:sz w:val="14"/>
          <w:szCs w:val="14"/>
          <w:color w:val="auto"/>
        </w:rPr>
      </w:pPr>
    </w:p>
    <w:p>
      <w:pPr>
        <w:ind w:left="1360" w:right="1319" w:hanging="111"/>
        <w:spacing w:after="0" w:line="291"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0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issued patents that we own or license may be held invalid or unenforceable, as a result of legal challenges by our competitors;</w:t>
      </w:r>
    </w:p>
    <w:p>
      <w:pPr>
        <w:spacing w:after="0" w:line="6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39"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Should any of these events occur, it could significantly harm our business, results of operations, and prospects.</w:t>
      </w:r>
    </w:p>
    <w:p>
      <w:pPr>
        <w:spacing w:after="0" w:line="114"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0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9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62" w:lineRule="exact"/>
        <w:rPr>
          <w:sz w:val="20"/>
          <w:szCs w:val="20"/>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result in costly litigation that may cause negative publicity;</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divert the time and attention of our technical personnel and management;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cause development delays;</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prevent us from commercializing CNTY-101 and our other product candidates until the asserted patent expires or is held finally invalid or not infringed in a court of law;</w:t>
      </w:r>
    </w:p>
    <w:p>
      <w:pPr>
        <w:spacing w:after="0" w:line="66" w:lineRule="exact"/>
        <w:rPr>
          <w:rFonts w:ascii="Arial" w:cs="Arial" w:eastAsia="Arial" w:hAnsi="Arial"/>
          <w:sz w:val="14"/>
          <w:szCs w:val="14"/>
          <w:color w:val="auto"/>
        </w:rPr>
      </w:pPr>
    </w:p>
    <w:p>
      <w:pPr>
        <w:ind w:left="1360" w:right="1419" w:hanging="111"/>
        <w:spacing w:after="0" w:line="263"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273"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subject us to significant liability to third parties; or</w:t>
      </w:r>
    </w:p>
    <w:p>
      <w:pPr>
        <w:spacing w:after="0" w:line="106"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93"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to raise additional funds or otherwise have a material adverse effect on our business, results of operations, financial condition and prospects.</w:t>
      </w:r>
    </w:p>
    <w:p>
      <w:pPr>
        <w:spacing w:after="0" w:line="8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6" w:lineRule="exact"/>
        <w:rPr>
          <w:sz w:val="20"/>
          <w:szCs w:val="20"/>
          <w:color w:val="auto"/>
        </w:rPr>
      </w:pPr>
    </w:p>
    <w:p>
      <w:pPr>
        <w:ind w:left="1240" w:right="1279"/>
        <w:spacing w:after="0" w:line="243" w:lineRule="auto"/>
        <w:rPr>
          <w:sz w:val="20"/>
          <w:szCs w:val="20"/>
          <w:color w:val="auto"/>
        </w:rPr>
      </w:pPr>
      <w:r>
        <w:rPr>
          <w:rFonts w:ascii="Arial" w:cs="Arial" w:eastAsia="Arial" w:hAnsi="Arial"/>
          <w:sz w:val="14"/>
          <w:szCs w:val="14"/>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1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00" w:lineRule="exact"/>
        <w:rPr>
          <w:sz w:val="20"/>
          <w:szCs w:val="20"/>
          <w:color w:val="auto"/>
        </w:rPr>
      </w:pPr>
    </w:p>
    <w:p>
      <w:pPr>
        <w:spacing w:after="0" w:line="287"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or non-enablement. Grounds for an unenforceability assertion could include an allegation that someone connected with prosecution of the patent withheld relevant information from the USPTO or made a misleading statement during prosecution.</w:t>
      </w:r>
    </w:p>
    <w:p>
      <w:pPr>
        <w:spacing w:after="0" w:line="92"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0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08"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10"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2" w:lineRule="exact"/>
        <w:rPr>
          <w:sz w:val="20"/>
          <w:szCs w:val="20"/>
          <w:color w:val="auto"/>
        </w:rPr>
      </w:pPr>
    </w:p>
    <w:p>
      <w:pPr>
        <w:ind w:left="1240" w:right="1439"/>
        <w:spacing w:after="0" w:line="243" w:lineRule="auto"/>
        <w:rPr>
          <w:sz w:val="20"/>
          <w:szCs w:val="20"/>
          <w:color w:val="auto"/>
        </w:rPr>
      </w:pPr>
      <w:r>
        <w:rPr>
          <w:rFonts w:ascii="Arial" w:cs="Arial" w:eastAsia="Arial" w:hAnsi="Arial"/>
          <w:sz w:val="14"/>
          <w:szCs w:val="14"/>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0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69"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For example, the U.S. Supreme Court has ruled on several patent cases in recent years, either narrowing the scope of patent protection available in certain circumstances or weakening the rights of patent owners in certain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8" w:lineRule="auto"/>
        <w:rPr>
          <w:sz w:val="20"/>
          <w:szCs w:val="20"/>
          <w:color w:val="auto"/>
        </w:rPr>
      </w:pPr>
      <w:r>
        <w:rPr>
          <w:rFonts w:ascii="Arial" w:cs="Arial" w:eastAsia="Arial" w:hAnsi="Arial"/>
          <w:sz w:val="14"/>
          <w:szCs w:val="14"/>
          <w:color w:val="auto"/>
        </w:rPr>
        <w:t>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3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08"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CNTY-101 and our other product candidates for an adequate amount of time.</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07"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If we do not obtain patent term extension for CNTY-101 and our other product candidates, our business may be materially harmed.</w:t>
      </w:r>
    </w:p>
    <w:p>
      <w:pPr>
        <w:spacing w:after="0" w:line="82"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33"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05"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539"/>
        <w:spacing w:after="0" w:line="237"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311" w:lineRule="exact"/>
        <w:rPr>
          <w:sz w:val="20"/>
          <w:szCs w:val="20"/>
          <w:color w:val="auto"/>
        </w:rPr>
      </w:pPr>
    </w:p>
    <w:p>
      <w:pPr>
        <w:ind w:left="1240" w:right="1759"/>
        <w:spacing w:after="0" w:line="262"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27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9"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3"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 is common in the biopharmaceutical industry, in addition to our employees, we engage the services of consultants to assist us in the development of CNTY-101 and our other product candidates. Many of these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56" w:lineRule="exact"/>
        <w:rPr>
          <w:sz w:val="20"/>
          <w:szCs w:val="20"/>
          <w:color w:val="auto"/>
        </w:rPr>
      </w:pPr>
    </w:p>
    <w:p>
      <w:pPr>
        <w:ind w:left="1240" w:right="1919"/>
        <w:spacing w:after="0" w:line="262" w:lineRule="auto"/>
        <w:rPr>
          <w:sz w:val="20"/>
          <w:szCs w:val="20"/>
          <w:color w:val="auto"/>
        </w:rPr>
      </w:pPr>
      <w:r>
        <w:rPr>
          <w:rFonts w:ascii="Arial" w:cs="Arial" w:eastAsia="Arial" w:hAnsi="Arial"/>
          <w:sz w:val="14"/>
          <w:szCs w:val="14"/>
          <w:b w:val="1"/>
          <w:bCs w:val="1"/>
          <w:i w:val="1"/>
          <w:iCs w:val="1"/>
          <w:color w:val="auto"/>
        </w:rPr>
        <w:t>An active, liquid, and orderly market for our common stock may not develop or be sustained.</w:t>
      </w:r>
    </w:p>
    <w:p>
      <w:pPr>
        <w:spacing w:after="0" w:line="93"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Prior to this offering, there has been no public market for our common stock. Although we have applied to have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88"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24" w:lineRule="exact"/>
        <w:rPr>
          <w:sz w:val="20"/>
          <w:szCs w:val="20"/>
          <w:color w:val="auto"/>
        </w:rPr>
      </w:pPr>
    </w:p>
    <w:p>
      <w:pPr>
        <w:ind w:left="1240" w:right="1959"/>
        <w:spacing w:after="0" w:line="262" w:lineRule="auto"/>
        <w:rPr>
          <w:sz w:val="20"/>
          <w:szCs w:val="20"/>
          <w:color w:val="auto"/>
        </w:rPr>
      </w:pPr>
      <w:r>
        <w:rPr>
          <w:rFonts w:ascii="Arial" w:cs="Arial" w:eastAsia="Arial" w:hAnsi="Arial"/>
          <w:sz w:val="14"/>
          <w:szCs w:val="14"/>
          <w:b w:val="1"/>
          <w:bCs w:val="1"/>
          <w:i w:val="1"/>
          <w:iCs w:val="1"/>
          <w:color w:val="auto"/>
        </w:rPr>
        <w:t>The trading price of the shares of our common stock could be highly volatile, and purchasers of our common stock could incur substantial losses.</w:t>
      </w:r>
    </w:p>
    <w:p>
      <w:pPr>
        <w:spacing w:after="0" w:line="104"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5" w:lineRule="exact"/>
        <w:rPr>
          <w:sz w:val="20"/>
          <w:szCs w:val="20"/>
          <w:color w:val="auto"/>
        </w:rPr>
      </w:pPr>
    </w:p>
    <w:p>
      <w:pPr>
        <w:jc w:val="both"/>
        <w:ind w:left="1360" w:right="1639" w:hanging="111"/>
        <w:spacing w:after="0" w:line="278"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and future preclinical studies and clinical trials, and the results of trials of our competitors or those of other companies in our market sector;</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approval of our product candidates, or limitations to specific label indications or patient populations for its use, or changes or delays in the regulatory review process;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0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especially in light of current reforms to the United States healthcare system;</w:t>
      </w:r>
    </w:p>
    <w:p>
      <w:pPr>
        <w:spacing w:after="0" w:line="66" w:lineRule="exact"/>
        <w:rPr>
          <w:rFonts w:ascii="Arial" w:cs="Arial" w:eastAsia="Arial" w:hAnsi="Arial"/>
          <w:sz w:val="14"/>
          <w:szCs w:val="14"/>
          <w:color w:val="auto"/>
        </w:rPr>
      </w:pPr>
    </w:p>
    <w:p>
      <w:pPr>
        <w:ind w:left="1360" w:right="205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success or failure of our efforts to acquire, license, or develop additional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innovations or new products developed by us or our competitors;</w:t>
      </w:r>
    </w:p>
    <w:p>
      <w:pPr>
        <w:spacing w:after="0" w:line="117"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manufacturing, supply or distribution delays or shortages;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69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changes to our relationship with FCDI, any manufacturers, suppliers, licensors, future collaborators, or other strategic partners;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achievement of expected product sales and profitability;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06"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market conditions in the biopharmaceutical sector and issuance of securities analysts’ reports or recommendations;</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inability to obtain additional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sales of our stock by insiders and stockholders;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general economic, industry, and market conditions, or other events or factors, many of which are beyond our control;</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additions or departures of key personnel;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intellectual property, product liability, or other litigation against us.</w:t>
      </w:r>
    </w:p>
    <w:p>
      <w:pPr>
        <w:spacing w:after="0" w:line="139" w:lineRule="exact"/>
        <w:rPr>
          <w:sz w:val="20"/>
          <w:szCs w:val="20"/>
          <w:color w:val="auto"/>
        </w:rPr>
      </w:pPr>
    </w:p>
    <w:p>
      <w:pPr>
        <w:ind w:left="1240" w:right="1559"/>
        <w:spacing w:after="0" w:line="275" w:lineRule="auto"/>
        <w:rPr>
          <w:sz w:val="20"/>
          <w:szCs w:val="20"/>
          <w:color w:val="auto"/>
        </w:rPr>
      </w:pPr>
      <w:r>
        <w:rPr>
          <w:rFonts w:ascii="Arial" w:cs="Arial" w:eastAsia="Arial" w:hAnsi="Arial"/>
          <w:sz w:val="14"/>
          <w:szCs w:val="14"/>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22" w:lineRule="exact"/>
        <w:rPr>
          <w:sz w:val="20"/>
          <w:szCs w:val="20"/>
          <w:color w:val="auto"/>
        </w:rPr>
      </w:pPr>
    </w:p>
    <w:p>
      <w:pPr>
        <w:ind w:left="1240" w:right="2139"/>
        <w:spacing w:after="0" w:line="262"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you and other stockholders may not agree.</w:t>
      </w:r>
    </w:p>
    <w:p>
      <w:pPr>
        <w:spacing w:after="0" w:line="9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12"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You will suffer immediate and substantial dilution in the net tangible book value of the common stock you purchase.</w:t>
      </w:r>
    </w:p>
    <w:p>
      <w:pPr>
        <w:spacing w:after="0" w:line="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 of $10.81 per share, representing the difference between our assumed initial public offering price of $19.00 per share, which is the midpoint of the price range set forth on the cover page of this prospectus, and our pro forma as adjusted net tangible book value per share as of March 31,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35" w:lineRule="exact"/>
        <w:rPr>
          <w:sz w:val="20"/>
          <w:szCs w:val="20"/>
          <w:color w:val="auto"/>
        </w:rPr>
      </w:pPr>
    </w:p>
    <w:p>
      <w:pPr>
        <w:ind w:left="1240" w:right="1459"/>
        <w:spacing w:after="0" w:line="243"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0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4" w:lineRule="auto"/>
        <w:rPr>
          <w:sz w:val="20"/>
          <w:szCs w:val="20"/>
          <w:color w:val="auto"/>
        </w:rPr>
      </w:pPr>
      <w:r>
        <w:rPr>
          <w:rFonts w:ascii="Arial" w:cs="Arial" w:eastAsia="Arial" w:hAnsi="Arial"/>
          <w:sz w:val="14"/>
          <w:szCs w:val="14"/>
          <w:color w:val="auto"/>
        </w:rPr>
        <w:t>appreciation of their stock. There is no guarantee that shares of our common stock will appreciate in value or even maintain the price at which stockholders have purchased their shares.</w:t>
      </w:r>
    </w:p>
    <w:p>
      <w:pPr>
        <w:spacing w:after="0" w:line="125"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82" w:lineRule="exact"/>
        <w:rPr>
          <w:sz w:val="20"/>
          <w:szCs w:val="20"/>
          <w:color w:val="auto"/>
        </w:rPr>
      </w:pPr>
    </w:p>
    <w:p>
      <w:pPr>
        <w:ind w:left="1240" w:right="1699"/>
        <w:spacing w:after="0" w:line="244"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6" w:lineRule="exact"/>
        <w:rPr>
          <w:sz w:val="20"/>
          <w:szCs w:val="20"/>
          <w:color w:val="auto"/>
        </w:rPr>
      </w:pPr>
    </w:p>
    <w:p>
      <w:pPr>
        <w:ind w:left="1240" w:right="1279"/>
        <w:spacing w:after="0" w:line="242" w:lineRule="auto"/>
        <w:rPr>
          <w:sz w:val="20"/>
          <w:szCs w:val="20"/>
          <w:color w:val="auto"/>
        </w:rPr>
      </w:pPr>
      <w:r>
        <w:rPr>
          <w:rFonts w:ascii="Arial" w:cs="Arial" w:eastAsia="Arial" w:hAnsi="Arial"/>
          <w:sz w:val="14"/>
          <w:szCs w:val="14"/>
          <w:color w:val="auto"/>
        </w:rPr>
        <w:t>Based on shares of common stock outstanding as of June 11, 2021, upon the closing of this offering, we will have outstanding a total of 54,824,608 shares of common stock after this offering, assuming no exercise of the underwriters’ option to purchase additional shares and no exercise of outstanding options. Of these shares, 10,550,000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06" w:lineRule="exact"/>
        <w:rPr>
          <w:sz w:val="20"/>
          <w:szCs w:val="20"/>
          <w:color w:val="auto"/>
        </w:rPr>
      </w:pPr>
    </w:p>
    <w:p>
      <w:pPr>
        <w:ind w:left="1240" w:right="1259"/>
        <w:spacing w:after="0"/>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 -up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 up agreements to sell shares prior to the expiration of the lock-up agreements, subject to limitations. See “Underwriting.” Sales of these shares, or perceptions that they will be sold, could cause the trading price of our common stock to decline. After the lock-up agreements expire, up to an additional 43,632,383 shares of common stock will be eligible for sale in the public market of which 35,956,203 shares are held by directors, executive officers, and other affiliates and will be subject to volume limitations under Rule 144 under the Securities Act of 1933, as amended, or the Securities Act.</w:t>
      </w:r>
    </w:p>
    <w:p>
      <w:pPr>
        <w:spacing w:after="0" w:line="263" w:lineRule="exact"/>
        <w:rPr>
          <w:sz w:val="20"/>
          <w:szCs w:val="20"/>
          <w:color w:val="auto"/>
        </w:rPr>
      </w:pPr>
    </w:p>
    <w:p>
      <w:pPr>
        <w:ind w:left="1240" w:right="1279"/>
        <w:spacing w:after="0" w:line="242" w:lineRule="auto"/>
        <w:rPr>
          <w:sz w:val="20"/>
          <w:szCs w:val="20"/>
          <w:color w:val="auto"/>
        </w:rPr>
      </w:pPr>
      <w:r>
        <w:rPr>
          <w:rFonts w:ascii="Arial" w:cs="Arial" w:eastAsia="Arial" w:hAnsi="Arial"/>
          <w:sz w:val="14"/>
          <w:szCs w:val="14"/>
          <w:color w:val="auto"/>
        </w:rPr>
        <w:t>In addition, as of June 11, 2021, up to 11,481,692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268" w:lineRule="exact"/>
        <w:rPr>
          <w:sz w:val="20"/>
          <w:szCs w:val="20"/>
          <w:color w:val="auto"/>
        </w:rPr>
      </w:pPr>
    </w:p>
    <w:p>
      <w:pPr>
        <w:ind w:left="1240" w:right="1339"/>
        <w:spacing w:after="0" w:line="241" w:lineRule="auto"/>
        <w:rPr>
          <w:sz w:val="20"/>
          <w:szCs w:val="20"/>
          <w:color w:val="auto"/>
        </w:rPr>
      </w:pPr>
      <w:r>
        <w:rPr>
          <w:rFonts w:ascii="Arial" w:cs="Arial" w:eastAsia="Arial" w:hAnsi="Arial"/>
          <w:sz w:val="14"/>
          <w:szCs w:val="14"/>
          <w:color w:val="auto"/>
        </w:rPr>
        <w:t>After this offering, the holders of 40,088,134 shares of our outstanding common stock, or approximately 73% of our total outstanding common stock as of June 11, 2021, will be entitled to rights with respect to the registration of their shares under the Securities Act, subject to vesting and the 180- day lock-up agreements described above. See “Description of capital stock— 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36" w:lineRule="exact"/>
        <w:rPr>
          <w:sz w:val="20"/>
          <w:szCs w:val="20"/>
          <w:color w:val="auto"/>
        </w:rPr>
      </w:pPr>
    </w:p>
    <w:p>
      <w:pPr>
        <w:ind w:left="1240" w:right="1259"/>
        <w:spacing w:after="0"/>
        <w:rPr>
          <w:sz w:val="20"/>
          <w:szCs w:val="20"/>
          <w:color w:val="auto"/>
        </w:rPr>
      </w:pPr>
      <w:r>
        <w:rPr>
          <w:rFonts w:ascii="Arial" w:cs="Arial" w:eastAsia="Arial" w:hAnsi="Arial"/>
          <w:sz w:val="14"/>
          <w:szCs w:val="14"/>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261"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 approximately 70% of our outstanding common stock, assuming no exercise of the underwriters’ option to purchase additional shares of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47" w:lineRule="auto"/>
        <w:rPr>
          <w:sz w:val="20"/>
          <w:szCs w:val="20"/>
          <w:color w:val="auto"/>
        </w:rPr>
      </w:pPr>
      <w:r>
        <w:rPr>
          <w:rFonts w:ascii="Arial" w:cs="Arial" w:eastAsia="Arial" w:hAnsi="Arial"/>
          <w:sz w:val="14"/>
          <w:szCs w:val="14"/>
          <w:color w:val="auto"/>
        </w:rPr>
        <w:t>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60" w:lineRule="exact"/>
        <w:rPr>
          <w:sz w:val="20"/>
          <w:szCs w:val="20"/>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delaying, deferring or preventing a change of control of us;</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0"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87" w:lineRule="exact"/>
        <w:rPr>
          <w:sz w:val="20"/>
          <w:szCs w:val="20"/>
          <w:color w:val="auto"/>
        </w:rPr>
      </w:pPr>
    </w:p>
    <w:p>
      <w:pPr>
        <w:jc w:val="both"/>
        <w:ind w:left="1240" w:right="1459"/>
        <w:spacing w:after="0" w:line="247" w:lineRule="auto"/>
        <w:rPr>
          <w:sz w:val="20"/>
          <w:szCs w:val="20"/>
          <w:color w:val="auto"/>
        </w:rPr>
      </w:pPr>
      <w:r>
        <w:rPr>
          <w:rFonts w:ascii="Arial" w:cs="Arial" w:eastAsia="Arial" w:hAnsi="Arial"/>
          <w:sz w:val="14"/>
          <w:szCs w:val="14"/>
          <w:color w:val="auto"/>
        </w:rPr>
        <w:t>See “Principal stockholders” in this prospectus for more information regarding the ownership of our outstanding common stock by our executive officers, directors, principal stockholders, and their affiliates.</w:t>
      </w:r>
    </w:p>
    <w:p>
      <w:pPr>
        <w:spacing w:after="0" w:line="129"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left="1240" w:right="1319"/>
        <w:spacing w:after="0" w:line="241" w:lineRule="auto"/>
        <w:rPr>
          <w:sz w:val="20"/>
          <w:szCs w:val="20"/>
          <w:color w:val="auto"/>
        </w:rPr>
      </w:pPr>
      <w:r>
        <w:rPr>
          <w:rFonts w:ascii="Arial" w:cs="Arial" w:eastAsia="Arial" w:hAnsi="Arial"/>
          <w:sz w:val="14"/>
          <w:szCs w:val="14"/>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26" w:lineRule="exact"/>
        <w:rPr>
          <w:sz w:val="20"/>
          <w:szCs w:val="20"/>
          <w:color w:val="auto"/>
        </w:rPr>
      </w:pPr>
    </w:p>
    <w:p>
      <w:pPr>
        <w:ind w:left="1360" w:right="1339" w:hanging="111"/>
        <w:spacing w:after="0" w:line="27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2"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8" w:lineRule="exact"/>
        <w:rPr>
          <w:sz w:val="20"/>
          <w:szCs w:val="20"/>
          <w:color w:val="auto"/>
        </w:rPr>
      </w:pPr>
    </w:p>
    <w:p>
      <w:pPr>
        <w:ind w:left="1240" w:right="1299"/>
        <w:spacing w:after="0" w:line="241"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97" w:lineRule="exact"/>
        <w:rPr>
          <w:sz w:val="20"/>
          <w:szCs w:val="20"/>
          <w:color w:val="auto"/>
        </w:rPr>
      </w:pPr>
    </w:p>
    <w:p>
      <w:pPr>
        <w:ind w:left="1240" w:right="1379"/>
        <w:spacing w:after="0" w:line="239"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ind w:left="124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ind w:left="124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ind w:left="124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ind w:left="124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ind w:left="124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ind w:left="124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w:t>
      </w:r>
    </w:p>
    <w:p>
      <w:pPr>
        <w:spacing w:after="0" w:line="82" w:lineRule="exact"/>
        <w:rPr>
          <w:sz w:val="20"/>
          <w:szCs w:val="20"/>
          <w:color w:val="auto"/>
        </w:rPr>
      </w:pPr>
    </w:p>
    <w:p>
      <w:pPr>
        <w:ind w:left="1240" w:right="1279"/>
        <w:spacing w:after="0" w:line="241" w:lineRule="auto"/>
        <w:rPr>
          <w:sz w:val="20"/>
          <w:szCs w:val="20"/>
          <w:color w:val="auto"/>
        </w:rPr>
      </w:pPr>
      <w:r>
        <w:rPr>
          <w:rFonts w:ascii="Arial" w:cs="Arial" w:eastAsia="Arial" w:hAnsi="Arial"/>
          <w:sz w:val="14"/>
          <w:szCs w:val="14"/>
          <w:color w:val="auto"/>
        </w:rPr>
        <w:t>As a public company, and particularly after we are no longer an emerging growth company or smaller reporting company, we will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269"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Pursuant to Section 404 of the Sarbanes -Oxley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299" w:lineRule="exact"/>
        <w:rPr>
          <w:sz w:val="20"/>
          <w:szCs w:val="20"/>
          <w:color w:val="auto"/>
        </w:rPr>
      </w:pPr>
    </w:p>
    <w:p>
      <w:pPr>
        <w:jc w:val="both"/>
        <w:ind w:left="1240" w:right="1299"/>
        <w:spacing w:after="0" w:line="262"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3" w:lineRule="exact"/>
        <w:rPr>
          <w:sz w:val="20"/>
          <w:szCs w:val="20"/>
          <w:color w:val="auto"/>
        </w:rPr>
      </w:pPr>
    </w:p>
    <w:p>
      <w:pPr>
        <w:ind w:left="1240" w:right="1299"/>
        <w:spacing w:after="0" w:line="241"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297"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95"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42" w:lineRule="exact"/>
        <w:rPr>
          <w:sz w:val="20"/>
          <w:szCs w:val="20"/>
          <w:color w:val="auto"/>
        </w:rPr>
      </w:pPr>
    </w:p>
    <w:p>
      <w:pPr>
        <w:ind w:left="1360" w:right="1319" w:hanging="111"/>
        <w:spacing w:after="0" w:line="276"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29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72"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6" w:lineRule="exact"/>
        <w:rPr>
          <w:rFonts w:ascii="Arial" w:cs="Arial" w:eastAsia="Arial" w:hAnsi="Arial"/>
          <w:sz w:val="14"/>
          <w:szCs w:val="14"/>
          <w:color w:val="auto"/>
        </w:rPr>
      </w:pPr>
    </w:p>
    <w:p>
      <w:pPr>
        <w:ind w:left="1360" w:right="1339" w:hanging="111"/>
        <w:spacing w:after="0" w:line="281"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248"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second amended and restated certificate of incorporation prohibits cumulative voting in the election of directors, which limits the ability of minority stockholders to elect director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may alter certain provisions of our amended and restated bylaws without obtaining stockholder approval;</w:t>
      </w:r>
    </w:p>
    <w:p>
      <w:pPr>
        <w:spacing w:after="0" w:line="66"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72" w:lineRule="exact"/>
        <w:rPr>
          <w:rFonts w:ascii="Arial" w:cs="Arial" w:eastAsia="Arial" w:hAnsi="Arial"/>
          <w:sz w:val="14"/>
          <w:szCs w:val="14"/>
          <w:color w:val="auto"/>
        </w:rPr>
      </w:pPr>
    </w:p>
    <w:p>
      <w:pPr>
        <w:ind w:left="1360" w:right="1279" w:hanging="111"/>
        <w:spacing w:after="0" w:line="271"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amended and restated bylaws, (ii) stockholder action,</w:t>
      </w:r>
    </w:p>
    <w:p>
      <w:pPr>
        <w:spacing w:after="0" w:line="1" w:lineRule="exact"/>
        <w:rPr>
          <w:rFonts w:ascii="Arial" w:cs="Arial" w:eastAsia="Arial" w:hAnsi="Arial"/>
          <w:sz w:val="14"/>
          <w:szCs w:val="14"/>
          <w:color w:val="auto"/>
        </w:rPr>
      </w:pPr>
    </w:p>
    <w:p>
      <w:pPr>
        <w:ind w:left="1360" w:right="1679"/>
        <w:spacing w:after="0" w:line="286" w:lineRule="auto"/>
        <w:rPr>
          <w:rFonts w:ascii="Arial" w:cs="Arial" w:eastAsia="Arial" w:hAnsi="Arial"/>
          <w:sz w:val="14"/>
          <w:szCs w:val="14"/>
          <w:color w:val="auto"/>
        </w:rPr>
      </w:pPr>
      <w:r>
        <w:rPr>
          <w:rFonts w:ascii="Arial" w:cs="Arial" w:eastAsia="Arial" w:hAnsi="Arial"/>
          <w:sz w:val="14"/>
          <w:szCs w:val="14"/>
          <w:color w:val="auto"/>
        </w:rPr>
        <w:t>(iii) election and removal of directors, (iv) limitations on liability and (v) exclusive forum for proceedings;</w:t>
      </w:r>
    </w:p>
    <w:p>
      <w:pPr>
        <w:spacing w:after="0" w:line="76" w:lineRule="exact"/>
        <w:rPr>
          <w:rFonts w:ascii="Arial" w:cs="Arial" w:eastAsia="Arial" w:hAnsi="Arial"/>
          <w:sz w:val="14"/>
          <w:szCs w:val="14"/>
          <w:color w:val="auto"/>
        </w:rPr>
      </w:pPr>
    </w:p>
    <w:p>
      <w:pPr>
        <w:ind w:left="1360" w:right="1279" w:hanging="111"/>
        <w:spacing w:after="0" w:line="275"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73"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83"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04" w:lineRule="exact"/>
        <w:rPr>
          <w:sz w:val="20"/>
          <w:szCs w:val="20"/>
          <w:color w:val="auto"/>
        </w:rPr>
      </w:pPr>
    </w:p>
    <w:p>
      <w:pPr>
        <w:ind w:left="1240" w:right="1419"/>
        <w:spacing w:after="0" w:line="234" w:lineRule="auto"/>
        <w:rPr>
          <w:sz w:val="20"/>
          <w:szCs w:val="20"/>
          <w:color w:val="auto"/>
        </w:rPr>
      </w:pPr>
      <w:r>
        <w:rPr>
          <w:rFonts w:ascii="Arial" w:cs="Arial" w:eastAsia="Arial" w:hAnsi="Arial"/>
          <w:sz w:val="14"/>
          <w:szCs w:val="14"/>
          <w:b w:val="1"/>
          <w:bCs w:val="1"/>
          <w:i w:val="1"/>
          <w:iCs w:val="1"/>
          <w:color w:val="auto"/>
        </w:rPr>
        <w:t>Our second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09"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Our second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279"/>
        <w:spacing w:after="0" w:line="239" w:lineRule="auto"/>
        <w:rPr>
          <w:sz w:val="20"/>
          <w:szCs w:val="20"/>
          <w:color w:val="auto"/>
        </w:rPr>
      </w:pPr>
      <w:r>
        <w:rPr>
          <w:rFonts w:ascii="Arial" w:cs="Arial" w:eastAsia="Arial" w:hAnsi="Arial"/>
          <w:sz w:val="14"/>
          <w:szCs w:val="14"/>
          <w:color w:val="auto"/>
        </w:rPr>
        <w:t>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w:t>
      </w:r>
    </w:p>
    <w:p>
      <w:pPr>
        <w:spacing w:after="0" w:line="1" w:lineRule="exact"/>
        <w:rPr>
          <w:sz w:val="20"/>
          <w:szCs w:val="20"/>
          <w:color w:val="auto"/>
        </w:rPr>
      </w:pPr>
    </w:p>
    <w:p>
      <w:pPr>
        <w:ind w:left="1240" w:right="1359"/>
        <w:spacing w:after="0" w:line="242" w:lineRule="auto"/>
        <w:rPr>
          <w:sz w:val="20"/>
          <w:szCs w:val="20"/>
          <w:color w:val="auto"/>
        </w:rPr>
      </w:pPr>
      <w:r>
        <w:rPr>
          <w:rFonts w:ascii="Arial" w:cs="Arial" w:eastAsia="Arial" w:hAnsi="Arial"/>
          <w:sz w:val="14"/>
          <w:szCs w:val="14"/>
          <w:color w:val="auto"/>
        </w:rPr>
        <w:t>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3" w:lineRule="exact"/>
        <w:rPr>
          <w:sz w:val="20"/>
          <w:szCs w:val="20"/>
          <w:color w:val="auto"/>
        </w:rPr>
      </w:pPr>
    </w:p>
    <w:p>
      <w:pPr>
        <w:ind w:left="1240" w:right="1379"/>
        <w:spacing w:after="0" w:line="243"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Special note regarding forward-looking statements</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258" w:lineRule="exact"/>
        <w:rPr>
          <w:sz w:val="20"/>
          <w:szCs w:val="20"/>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raise additional capital to fund our operations and continue the development of our current and future product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preclinical nature of our business and our ability to successfully advance our current and future product candidates through development activities, preclinical studies, and clinical trials;</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generate revenue from future product sales and our ability to achieve and maintain profitability;</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accuracy of our projections and estimates regarding our expenses, capital requirements, cash utilization, and need for additional financing;</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expected uses of the net proceeds from this offering;</w:t>
      </w:r>
    </w:p>
    <w:p>
      <w:pPr>
        <w:spacing w:after="0" w:line="10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extent to which the COVID-19 pandemic and measures taken to contain its spread ultimately impact our business, including development activities, preclinical studies, and future clinical trials;</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dependence on the success of our product candidates, in particular CNTY-101, CNTY-103, and CNTY-102;</w:t>
      </w:r>
    </w:p>
    <w:p>
      <w:pPr>
        <w:spacing w:after="0" w:line="6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novelty of our approach to immuno-oncology treatment of cancer, utilizing CAR-iNK and CAR-iT cells, and the challenges we will face due to the novel nature of such technology;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success of competing therapies that are or become available;</w:t>
      </w:r>
    </w:p>
    <w:p>
      <w:pPr>
        <w:spacing w:after="0" w:line="106" w:lineRule="exact"/>
        <w:rPr>
          <w:rFonts w:ascii="Arial" w:cs="Arial" w:eastAsia="Arial" w:hAnsi="Arial"/>
          <w:sz w:val="14"/>
          <w:szCs w:val="14"/>
          <w:color w:val="auto"/>
        </w:rPr>
      </w:pPr>
    </w:p>
    <w:p>
      <w:pPr>
        <w:jc w:val="both"/>
        <w:ind w:left="1360" w:right="149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reliance on the maintenance of our collaborative relationship with FCDI for access to key differentiation and reprogramming technology for the manufacturing and development of our product candidates;</w:t>
      </w:r>
    </w:p>
    <w:p>
      <w:pPr>
        <w:spacing w:after="0" w:line="72"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initiation, progress, success, cost, and timing of our development activities, preclinical studies and future clinical trials;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timing of our future IND applications and the likelihood of, and our ability to obtain and maintain, regulatory clearance of such IND applications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timing, scope and likelihood of regulatory filings and approvals, including final regulatory approval of our product candidates;</w:t>
      </w:r>
    </w:p>
    <w:p>
      <w:pPr>
        <w:spacing w:after="0" w:line="66" w:lineRule="exact"/>
        <w:rPr>
          <w:rFonts w:ascii="Arial" w:cs="Arial" w:eastAsia="Arial" w:hAnsi="Arial"/>
          <w:sz w:val="14"/>
          <w:szCs w:val="14"/>
          <w:color w:val="auto"/>
        </w:rPr>
      </w:pPr>
    </w:p>
    <w:p>
      <w:pPr>
        <w:ind w:left="1360" w:right="147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reliance on FCDI to be the exclusive manufacturer of certain product candidates, and our ability to manufacture our own product candidates in the future, and the timing and costs of such manufacturing activities;</w:t>
      </w:r>
    </w:p>
    <w:p>
      <w:pPr>
        <w:spacing w:after="0" w:line="72"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performance of third parties in connection with the development of our product candidates, including third parties conducting our future clinical trials as well as third-party suppliers and manufacturers;</w:t>
      </w:r>
    </w:p>
    <w:p>
      <w:pPr>
        <w:spacing w:after="0" w:line="72"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attract and retain strategic collaborators with development, regulatory, and commercialization expertise;</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public opinion and scrutiny of cell-based immuno-oncology therapies for treating cancer and its potential impact on public perception of our company and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develop sales and marketing capabilities, if our product candidates are approved;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7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size and growth of the potential markets for our product candidates and our ability to serve those markets;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regulatory developments and approval pathways in the United States and foreign countries for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potential scope and value of our intellectual property and proprietary rights;</w:t>
      </w:r>
    </w:p>
    <w:p>
      <w:pPr>
        <w:spacing w:after="0" w:line="106" w:lineRule="exact"/>
        <w:rPr>
          <w:rFonts w:ascii="Arial" w:cs="Arial" w:eastAsia="Arial" w:hAnsi="Arial"/>
          <w:sz w:val="14"/>
          <w:szCs w:val="14"/>
          <w:color w:val="auto"/>
        </w:rPr>
      </w:pPr>
    </w:p>
    <w:p>
      <w:pPr>
        <w:ind w:left="1360" w:right="1299" w:hanging="111"/>
        <w:spacing w:after="0" w:line="27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73"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recruit and retain key members of management and other clinical and scientific personnel;</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 and</w:t>
      </w:r>
    </w:p>
    <w:p>
      <w:pPr>
        <w:spacing w:after="0" w:line="10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risks and uncertainties, including those described or incorporated by reference under the caption “Risk factors” in this prospectus.</w:t>
      </w:r>
    </w:p>
    <w:p>
      <w:pPr>
        <w:spacing w:after="0" w:line="8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95"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Market and industry data</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Based on our industry experience, we believe that such data is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Use of proceeds</w:t>
      </w:r>
    </w:p>
    <w:p>
      <w:pPr>
        <w:spacing w:after="0" w:line="119"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 estimate that the net proceeds to us from this offering will be approximately $182.4 million (or approximately $210.4 million if the underwriters exercise in full their option to purchase up to 1,582,500 additional shares of common stock), based on an assumed initial public offering price of $19.00 per share, the midpoint of the price range set forth on the cover page of this prospectus, after deducting underwriting discounts and commissions and estimated offering expenses payable by us.</w:t>
      </w:r>
    </w:p>
    <w:p>
      <w:pPr>
        <w:spacing w:after="0" w:line="288"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Each $1.00 increase or decrease in the assumed initial public offering price of $19.00 per share, the midpoint of the price range set forth on the cover page of this prospectus, would increase or decrease, as applicable, the net proceeds from this offering by approximately $9.8 million, assuming that the number of shares of common stock offered by us, as set forth on the cover page of this prospectus, remains the same and after deducting the underwriting discounts and commissions and estimated offering expenses payable by us. Similarly, each increase or decrease of 1.0 million shares of common stock offered by us would increase or decrease, as applicable, the net proceeds to us by approximately $17.7 million, assuming the assumed initial public offering price of $19.00 per share, the midpoint of the price range set forth on the cover page of this prospectus, remains the same, and after deducting the underwriting discounts and commissions and estimated offering expenses payable by us.</w:t>
      </w:r>
    </w:p>
    <w:p>
      <w:pPr>
        <w:spacing w:after="0" w:line="289"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cash equivalents and short-term investments, as follows:</w:t>
      </w:r>
    </w:p>
    <w:p>
      <w:pPr>
        <w:spacing w:after="0" w:line="73" w:lineRule="exact"/>
        <w:rPr>
          <w:sz w:val="20"/>
          <w:szCs w:val="20"/>
          <w:color w:val="auto"/>
        </w:rPr>
      </w:pPr>
    </w:p>
    <w:p>
      <w:pPr>
        <w:ind w:left="1360" w:right="1379" w:hanging="111"/>
        <w:spacing w:after="0" w:line="278"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$50 million to fund pre-clinical activities and clinical preparation activities for CNTY-101 through completion of our IND submission, initiation of our planned Phase 1 clinical trial, and receipt of initial safety and pharmacokinetic, or PK, data;</w:t>
      </w:r>
    </w:p>
    <w:p>
      <w:pPr>
        <w:spacing w:after="0" w:line="72" w:lineRule="exact"/>
        <w:rPr>
          <w:rFonts w:ascii="Arial" w:cs="Arial" w:eastAsia="Arial" w:hAnsi="Arial"/>
          <w:sz w:val="14"/>
          <w:szCs w:val="14"/>
          <w:color w:val="auto"/>
        </w:rPr>
      </w:pPr>
    </w:p>
    <w:p>
      <w:pPr>
        <w:ind w:left="1360" w:right="1419" w:hanging="111"/>
        <w:spacing w:after="0" w:line="291"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$110 million to fund pre-clinical activities for CNTY-103, CNTY-102, and CNTY-104 through completion of our IND submission for each of CNTY-103, CNTY-102, and CNTY-104;</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$35 million to continue developing manufacturing capabilities for our product candidates, including the construction of our manufacturing facility in Branchburg, New Jersey;</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$40 million to fund our internal research and development capabilities and to advance new product candidates; and</w:t>
      </w:r>
    </w:p>
    <w:p>
      <w:pPr>
        <w:spacing w:after="0" w:line="66" w:lineRule="exact"/>
        <w:rPr>
          <w:rFonts w:ascii="Arial" w:cs="Arial" w:eastAsia="Arial" w:hAnsi="Arial"/>
          <w:sz w:val="14"/>
          <w:szCs w:val="14"/>
          <w:color w:val="auto"/>
        </w:rPr>
      </w:pPr>
    </w:p>
    <w:p>
      <w:pPr>
        <w:ind w:left="1360" w:right="1939" w:hanging="111"/>
        <w:spacing w:after="0" w:line="28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additional costs associated with being a public company.</w:t>
      </w:r>
    </w:p>
    <w:p>
      <w:pPr>
        <w:spacing w:after="0" w:line="87"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We may use a portion of the net proceeds from this offering to in-license, acquire, or invest in complementary businesses, technologies, products or assets. However, we have no current commitments to do so.</w:t>
      </w:r>
    </w:p>
    <w:p>
      <w:pPr>
        <w:spacing w:after="0" w:line="105"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Based on our planned use of the net proceeds, we estimate such funds, together with our existing cash and cash equivalents, will be sufficient for us to fund our operating expenses and capital expenditure requirements for the next 42 months from the date of this filing. We have based this estimate on assumptions that may prove to be wrong, and we could exhaust our available capital resources sooner than we expect.</w:t>
      </w:r>
    </w:p>
    <w:p>
      <w:pPr>
        <w:spacing w:after="0" w:line="10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94"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Dividend policy</w:t>
      </w:r>
    </w:p>
    <w:p>
      <w:pPr>
        <w:spacing w:after="0" w:line="13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Capitalization</w:t>
      </w:r>
    </w:p>
    <w:p>
      <w:pPr>
        <w:spacing w:after="0" w:line="119"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The following table sets forth our cash, cash equivalents, short term investments and our capitalization as of March 31, 2021:</w:t>
      </w:r>
    </w:p>
    <w:p>
      <w:pPr>
        <w:spacing w:after="0" w:line="77" w:lineRule="exact"/>
        <w:rPr>
          <w:sz w:val="20"/>
          <w:szCs w:val="20"/>
          <w:color w:val="auto"/>
        </w:rPr>
      </w:pPr>
    </w:p>
    <w:p>
      <w:pPr>
        <w:ind w:left="1360" w:hanging="111"/>
        <w:spacing w:after="0"/>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85" w:lineRule="exact"/>
        <w:rPr>
          <w:rFonts w:ascii="Arial" w:cs="Arial" w:eastAsia="Arial" w:hAnsi="Arial"/>
          <w:sz w:val="14"/>
          <w:szCs w:val="14"/>
          <w:color w:val="auto"/>
        </w:rPr>
      </w:pPr>
    </w:p>
    <w:p>
      <w:pPr>
        <w:ind w:left="1360" w:right="1279" w:hanging="111"/>
        <w:spacing w:after="0" w:line="27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 pro forma basis to give effect to the completion of (i) the filing and effectiveness of our second amended and restated certificate of incorporation immediately prior to the closing of this offering, and (ii) the conversion of all outstanding shares of our convertible preferred stock into an aggregate of 34,126,528 shares of common stock upon the closing of this offering; and</w:t>
      </w:r>
    </w:p>
    <w:p>
      <w:pPr>
        <w:spacing w:after="0" w:line="62" w:lineRule="exact"/>
        <w:rPr>
          <w:rFonts w:ascii="Arial" w:cs="Arial" w:eastAsia="Arial" w:hAnsi="Arial"/>
          <w:sz w:val="14"/>
          <w:szCs w:val="14"/>
          <w:color w:val="auto"/>
        </w:rPr>
      </w:pPr>
    </w:p>
    <w:p>
      <w:pPr>
        <w:ind w:left="1360" w:right="1319" w:hanging="111"/>
        <w:spacing w:after="0" w:line="275"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 a pro forma as adjusted basis to give effect to the pro forma adjustments described above and to give further effect to the issuance and sale of 10,550,000 shares of our common stock in this offering at an assumed initial public offering price of $19.00 per share, the midpoint of the price range set forth on the cover page of this prospectus, and after deducting estimated underwriting discounts and commissions and estimated offering expenses payable by us.</w:t>
      </w:r>
    </w:p>
    <w:p>
      <w:pPr>
        <w:spacing w:after="0" w:line="84"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131" w:lineRule="exact"/>
        <w:rPr>
          <w:sz w:val="20"/>
          <w:szCs w:val="20"/>
          <w:color w:val="auto"/>
        </w:rPr>
      </w:pPr>
    </w:p>
    <w:tbl>
      <w:tblPr>
        <w:tblLayout w:type="fixed"/>
        <w:tblInd w:w="1240" w:type="dxa"/>
        <w:tblCellMar>
          <w:top w:w="0" w:type="dxa"/>
          <w:left w:w="0" w:type="dxa"/>
          <w:bottom w:w="0" w:type="dxa"/>
          <w:right w:w="0" w:type="dxa"/>
        </w:tblCellMar>
      </w:tblPr>
      <w:tr>
        <w:trPr>
          <w:trHeight w:val="214"/>
        </w:trPr>
        <w:tc>
          <w:tcPr>
            <w:tcW w:w="442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100" w:type="dxa"/>
            <w:vAlign w:val="bottom"/>
            <w:tcBorders>
              <w:top w:val="single" w:sz="8" w:color="auto"/>
            </w:tcBorders>
            <w:gridSpan w:val="5"/>
          </w:tcPr>
          <w:p>
            <w:pPr>
              <w:jc w:val="right"/>
              <w:spacing w:after="0" w:line="214" w:lineRule="exact"/>
              <w:rPr>
                <w:sz w:val="20"/>
                <w:szCs w:val="20"/>
                <w:color w:val="auto"/>
              </w:rPr>
            </w:pPr>
            <w:r>
              <w:rPr>
                <w:rFonts w:ascii="Arial" w:cs="Arial" w:eastAsia="Arial" w:hAnsi="Arial"/>
                <w:sz w:val="13"/>
                <w:szCs w:val="13"/>
                <w:b w:val="1"/>
                <w:bCs w:val="1"/>
                <w:color w:val="auto"/>
              </w:rPr>
              <w:t>Actual Pro Forma Adjusted</w:t>
            </w:r>
            <w:r>
              <w:rPr>
                <w:rFonts w:ascii="Arial" w:cs="Arial" w:eastAsia="Arial" w:hAnsi="Arial"/>
                <w:sz w:val="19"/>
                <w:szCs w:val="19"/>
                <w:b w:val="1"/>
                <w:bCs w:val="1"/>
                <w:color w:val="auto"/>
                <w:vertAlign w:val="superscript"/>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0" w:type="dxa"/>
            <w:vAlign w:val="bottom"/>
            <w:tcBorders>
              <w:top w:val="single" w:sz="8" w:color="auto"/>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and short-term investments</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$ 182,942</w:t>
            </w: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182,942</w:t>
            </w: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365,361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4"/>
                <w:szCs w:val="14"/>
                <w:color w:val="auto"/>
              </w:rPr>
              <w:t>Long-term debt</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20" w:type="dxa"/>
            <w:vAlign w:val="bottom"/>
            <w:gridSpan w:val="3"/>
            <w:vMerge w:val="continue"/>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Series A preferred stock, $0.0001 par value: 35,000,000 shares</w:t>
            </w:r>
          </w:p>
        </w:tc>
        <w:tc>
          <w:tcPr>
            <w:tcW w:w="680" w:type="dxa"/>
            <w:vAlign w:val="bottom"/>
          </w:tcPr>
          <w:p>
            <w:pPr>
              <w:jc w:val="right"/>
              <w:spacing w:after="0"/>
              <w:rPr>
                <w:sz w:val="20"/>
                <w:szCs w:val="20"/>
                <w:color w:val="auto"/>
              </w:rPr>
            </w:pPr>
            <w:r>
              <w:rPr>
                <w:rFonts w:ascii="Arial" w:cs="Arial" w:eastAsia="Arial" w:hAnsi="Arial"/>
                <w:sz w:val="14"/>
                <w:szCs w:val="14"/>
                <w:color w:val="auto"/>
              </w:rPr>
              <w:t>34,922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authorized, issued and outstanding, actual; no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Series B preferred stock, $0.0001 par value: 26,143,790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issued and outstanding, actual; no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tcPr>
          <w:p>
            <w:pPr>
              <w:jc w:val="right"/>
              <w:spacing w:after="0"/>
              <w:rPr>
                <w:sz w:val="20"/>
                <w:szCs w:val="20"/>
                <w:color w:val="auto"/>
              </w:rPr>
            </w:pPr>
            <w:r>
              <w:rPr>
                <w:rFonts w:ascii="Arial" w:cs="Arial" w:eastAsia="Arial" w:hAnsi="Arial"/>
                <w:sz w:val="14"/>
                <w:szCs w:val="14"/>
                <w:color w:val="auto"/>
              </w:rPr>
              <w:t>144,839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Series C preferred stock, $0.0001 par value: 24,721,999</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shares authorized, issued and outstanding, actual; no shares</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159,628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Common stock, $0.0001 par value, 125,236,190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7,872,533 shares issued and outstanding, actual;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300,000,000 shares authorized and 41,999,061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issued and outstanding pro forma; 300,000,000 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authorized and 52,549,061 shares issued and outstanding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ind w:left="280"/>
              <w:spacing w:after="0"/>
              <w:rPr>
                <w:sz w:val="20"/>
                <w:szCs w:val="20"/>
                <w:color w:val="auto"/>
              </w:rPr>
            </w:pPr>
            <w:r>
              <w:rPr>
                <w:rFonts w:ascii="Arial" w:cs="Arial" w:eastAsia="Arial" w:hAnsi="Arial"/>
                <w:sz w:val="14"/>
                <w:szCs w:val="14"/>
                <w:color w:val="auto"/>
              </w:rPr>
              <w:t>pro forma as adjusted</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219,158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558,544</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ind w:left="140"/>
              <w:spacing w:after="0"/>
              <w:rPr>
                <w:sz w:val="20"/>
                <w:szCs w:val="20"/>
                <w:color w:val="auto"/>
              </w:rPr>
            </w:pPr>
            <w:r>
              <w:rPr>
                <w:rFonts w:ascii="Arial" w:cs="Arial" w:eastAsia="Arial" w:hAnsi="Arial"/>
                <w:sz w:val="14"/>
                <w:szCs w:val="14"/>
                <w:color w:val="auto"/>
              </w:rPr>
              <w:t>Accumulated deficit</w:t>
            </w:r>
          </w:p>
        </w:tc>
        <w:tc>
          <w:tcPr>
            <w:tcW w:w="780" w:type="dxa"/>
            <w:vAlign w:val="bottom"/>
            <w:gridSpan w:val="2"/>
          </w:tcPr>
          <w:p>
            <w:pPr>
              <w:jc w:val="right"/>
              <w:ind w:right="9"/>
              <w:spacing w:after="0"/>
              <w:rPr>
                <w:sz w:val="20"/>
                <w:szCs w:val="20"/>
                <w:color w:val="auto"/>
              </w:rPr>
            </w:pPr>
            <w:r>
              <w:rPr>
                <w:rFonts w:ascii="Arial" w:cs="Arial" w:eastAsia="Arial" w:hAnsi="Arial"/>
                <w:sz w:val="14"/>
                <w:szCs w:val="14"/>
                <w:color w:val="auto"/>
              </w:rPr>
              <w:t>(310,690)</w:t>
            </w:r>
          </w:p>
        </w:tc>
        <w:tc>
          <w:tcPr>
            <w:tcW w:w="720" w:type="dxa"/>
            <w:vAlign w:val="bottom"/>
            <w:gridSpan w:val="2"/>
          </w:tcPr>
          <w:p>
            <w:pPr>
              <w:jc w:val="right"/>
              <w:ind w:right="29"/>
              <w:spacing w:after="0"/>
              <w:rPr>
                <w:sz w:val="20"/>
                <w:szCs w:val="20"/>
                <w:color w:val="auto"/>
              </w:rPr>
            </w:pPr>
            <w:r>
              <w:rPr>
                <w:rFonts w:ascii="Arial" w:cs="Arial" w:eastAsia="Arial" w:hAnsi="Arial"/>
                <w:sz w:val="14"/>
                <w:szCs w:val="14"/>
                <w:color w:val="auto"/>
              </w:rPr>
              <w:t>(310,690)</w:t>
            </w:r>
          </w:p>
        </w:tc>
        <w:tc>
          <w:tcPr>
            <w:tcW w:w="600" w:type="dxa"/>
            <w:vAlign w:val="bottom"/>
          </w:tcPr>
          <w:p>
            <w:pPr>
              <w:jc w:val="right"/>
              <w:spacing w:after="0"/>
              <w:rPr>
                <w:sz w:val="20"/>
                <w:szCs w:val="20"/>
                <w:color w:val="auto"/>
              </w:rPr>
            </w:pPr>
            <w:r>
              <w:rPr>
                <w:rFonts w:ascii="Arial" w:cs="Arial" w:eastAsia="Arial" w:hAnsi="Arial"/>
                <w:sz w:val="14"/>
                <w:szCs w:val="14"/>
                <w:color w:val="auto"/>
                <w:w w:val="96"/>
              </w:rPr>
              <w:t>(310,690)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Total capitalization</w:t>
            </w: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$ 257,543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257,543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439,962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27305</wp:posOffset>
            </wp:positionV>
            <wp:extent cx="413448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34485" cy="698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13970</wp:posOffset>
            </wp:positionV>
            <wp:extent cx="13462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0"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-114935</wp:posOffset>
            </wp:positionV>
            <wp:extent cx="69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76" w:lineRule="exact"/>
        <w:rPr>
          <w:sz w:val="20"/>
          <w:szCs w:val="20"/>
          <w:color w:val="auto"/>
        </w:rPr>
      </w:pPr>
    </w:p>
    <w:p>
      <w:pPr>
        <w:ind w:left="1240" w:right="1279" w:firstLine="9"/>
        <w:spacing w:after="0" w:line="226" w:lineRule="auto"/>
        <w:tabs>
          <w:tab w:leader="none" w:pos="1411" w:val="left"/>
        </w:tabs>
        <w:numPr>
          <w:ilvl w:val="0"/>
          <w:numId w:val="52"/>
        </w:numPr>
        <w:rPr>
          <w:rFonts w:ascii="Arial" w:cs="Arial" w:eastAsia="Arial" w:hAnsi="Arial"/>
          <w:sz w:val="11"/>
          <w:szCs w:val="11"/>
          <w:color w:val="auto"/>
        </w:rPr>
      </w:pPr>
      <w:r>
        <w:rPr>
          <w:rFonts w:ascii="Arial" w:cs="Arial" w:eastAsia="Arial" w:hAnsi="Arial"/>
          <w:sz w:val="11"/>
          <w:szCs w:val="11"/>
          <w:color w:val="auto"/>
        </w:rPr>
        <w:t>A $1.00 increase (decrease) in the assumed initial public offering price of $19.00 per share, the midpoint of the price range set forth on the cover page of this prospectus, would increase (decrease) the pro forma as adjusted amount of each of cash, total stockholders’ equity, and total capitalization by $9.8 million, assuming that the number of shares offered by us, as set forth on the cover page of this prospectus, remains the same and after deducting estimated underwriting discounts and commissions and estimated offering expenses payable by us. An increase (decrease) of 1.0 million shares in the number of shares offered by us, as set forth on the cover page of this prospectus, would increase (decrease) the pro forma as adjusted amount of each of cash, total stockholders’ deficit, and total capitalization by $17.7 million, assuming no change in the assumed initial public offering price per share and after deducting estimated underwriting discounts and commissions and estimated offering expenses payable by us.</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96" w:lineRule="exact"/>
        <w:rPr>
          <w:sz w:val="20"/>
          <w:szCs w:val="20"/>
          <w:color w:val="auto"/>
        </w:rPr>
      </w:pPr>
    </w:p>
    <w:p>
      <w:pPr>
        <w:ind w:left="1360" w:right="1779" w:hanging="111"/>
        <w:spacing w:after="0" w:line="28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19" w:hanging="111"/>
        <w:spacing w:after="0" w:line="263"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73"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66" w:lineRule="exact"/>
        <w:rPr>
          <w:rFonts w:ascii="Arial" w:cs="Arial" w:eastAsia="Arial" w:hAnsi="Arial"/>
          <w:sz w:val="14"/>
          <w:szCs w:val="14"/>
          <w:color w:val="auto"/>
        </w:rPr>
      </w:pPr>
    </w:p>
    <w:p>
      <w:pPr>
        <w:ind w:left="1360" w:right="1259" w:hanging="111"/>
        <w:spacing w:after="0" w:line="27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359" w:hanging="111"/>
        <w:spacing w:after="0" w:line="276"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ESPP, will become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Dilution</w:t>
      </w:r>
    </w:p>
    <w:p>
      <w:pPr>
        <w:spacing w:after="0" w:line="87"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March 31, 2021.</w:t>
      </w:r>
    </w:p>
    <w:p>
      <w:pPr>
        <w:spacing w:after="0" w:line="63"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Our historical net tangible book value (deficit) as of March 31, 2021 was $(91.6) million, or $(11.63) 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March 31, 2021.</w:t>
      </w:r>
    </w:p>
    <w:p>
      <w:pPr>
        <w:spacing w:after="0" w:line="63" w:lineRule="exact"/>
        <w:rPr>
          <w:sz w:val="20"/>
          <w:szCs w:val="20"/>
          <w:color w:val="auto"/>
        </w:rPr>
      </w:pPr>
    </w:p>
    <w:p>
      <w:pPr>
        <w:ind w:left="1240" w:right="1399"/>
        <w:spacing w:after="0" w:line="275" w:lineRule="auto"/>
        <w:rPr>
          <w:sz w:val="20"/>
          <w:szCs w:val="20"/>
          <w:color w:val="auto"/>
        </w:rPr>
      </w:pPr>
      <w:r>
        <w:rPr>
          <w:rFonts w:ascii="Arial" w:cs="Arial" w:eastAsia="Arial" w:hAnsi="Arial"/>
          <w:sz w:val="14"/>
          <w:szCs w:val="14"/>
          <w:color w:val="auto"/>
        </w:rPr>
        <w:t>Our pro forma net tangible book value as of March 31, 2021, before giving effect to this offering, was $247.8 million, or $5.90 per share. Pro forma net tangible book value, before the issuance and sale of shares in this offering, gives effect to the conversion of all outstanding shares of our convertible preferred stock into an aggregate of 34,126,528 shares of common stock upon the closing of this offering.</w:t>
      </w:r>
    </w:p>
    <w:p>
      <w:pPr>
        <w:spacing w:after="0" w:line="52"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Pro forma net tangible book value per share represents pro forma net tangible book value divided by the total number of shares outstanding as of March 31, 2021 after giving effect to the pro forma adjustments described above.</w:t>
      </w:r>
    </w:p>
    <w:p>
      <w:pPr>
        <w:spacing w:after="0" w:line="6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Net tangible book value dilution per share to new investors represents the difference between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amount per share paid by purchasers of common stock in this offering and the pro forma as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adjusted net tangible book value per share of our common stock immediately following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closing of this offering. After giving effect to the pro forma transactions described above and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sale of shares of common stock in this offering at an assumed initial public offering price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$19.00 per share, the midpoint of the price range set forth on the cover page of this prospectus,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after deducting the underwriting discounts and commissions and estimated offering expenses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payable by us, our pro forma as adjusted net tangible book value as of March 31, 2021 would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have been $430.3 million, or $8.19 per share. This represents an immediate increase in</w:t>
      </w:r>
    </w:p>
    <w:p>
      <w:pPr>
        <w:spacing w:after="0" w:line="2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pro forma as adjusted net tangible book value of $2.29 per share to our existing stockholders and an immediate dilution of $10.81 per share to new investors participating in this offering. The following table illustrates this dilution on a per share basis:</w:t>
      </w:r>
    </w:p>
    <w:p>
      <w:pPr>
        <w:spacing w:after="0" w:line="74"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$ 19.00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0" w:type="dxa"/>
            <w:vAlign w:val="bottom"/>
            <w:gridSpan w:val="2"/>
          </w:tcPr>
          <w:p>
            <w:pPr>
              <w:spacing w:after="0"/>
              <w:rPr>
                <w:sz w:val="20"/>
                <w:szCs w:val="20"/>
                <w:color w:val="auto"/>
              </w:rPr>
            </w:pPr>
            <w:r>
              <w:rPr>
                <w:rFonts w:ascii="Arial" w:cs="Arial" w:eastAsia="Arial" w:hAnsi="Arial"/>
                <w:sz w:val="14"/>
                <w:szCs w:val="14"/>
                <w:color w:val="auto"/>
              </w:rPr>
              <w:t>Historical net tangible book value (deficit) per share as of March 31, 2021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$(11.63)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Pro forma increase in net tangible book value per share as of March 31, 2021 attributable to</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the pro forma transactions described above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Pro forma net tangible book value per share as of March 31, 2021 before giving effect to this</w:t>
            </w: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ind w:left="140"/>
              <w:spacing w:after="0"/>
              <w:rPr>
                <w:sz w:val="20"/>
                <w:szCs w:val="20"/>
                <w:color w:val="auto"/>
              </w:rPr>
            </w:pPr>
            <w:r>
              <w:rPr>
                <w:rFonts w:ascii="Arial" w:cs="Arial" w:eastAsia="Arial" w:hAnsi="Arial"/>
                <w:sz w:val="14"/>
                <w:szCs w:val="14"/>
                <w:color w:val="auto"/>
              </w:rPr>
              <w:t>offering</w:t>
            </w:r>
          </w:p>
        </w:tc>
        <w:tc>
          <w:tcPr>
            <w:tcW w:w="500" w:type="dxa"/>
            <w:vAlign w:val="bottom"/>
          </w:tcPr>
          <w:p>
            <w:pPr>
              <w:jc w:val="right"/>
              <w:spacing w:after="0"/>
              <w:rPr>
                <w:sz w:val="20"/>
                <w:szCs w:val="20"/>
                <w:color w:val="auto"/>
              </w:rPr>
            </w:pPr>
            <w:r>
              <w:rPr>
                <w:rFonts w:ascii="Arial" w:cs="Arial" w:eastAsia="Arial" w:hAnsi="Arial"/>
                <w:sz w:val="14"/>
                <w:szCs w:val="14"/>
                <w:color w:val="auto"/>
              </w:rPr>
              <w:t>5.90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new investors</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Dilution per share to new investors 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$ 10.81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41821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82110" cy="6985"/>
                    </a:xfrm>
                    <a:prstGeom prst="rect">
                      <a:avLst/>
                    </a:prstGeom>
                    <a:noFill/>
                  </pic:spPr>
                </pic:pic>
              </a:graphicData>
            </a:graphic>
          </wp:anchor>
        </w:drawing>
      </w:r>
    </w:p>
    <w:p>
      <w:pPr>
        <w:spacing w:after="0" w:line="5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Each $1.00 increase or decrease in the assumed initial public offering price of $19.00 per share, the midpoint of the price range set forth on the cover page of this prospectus, would increase or decrease, as applicable, our pro forma as adjusted net tangible book value per share after this offering by $0.18 per share and the dilution per share to new investors participating in this offering by $0.82 per share, assuming that the number of shares of common stock offered by us, as set forth on the cover page of this prospectus, remains the same and after deducting underwriting discounts and commissions and estimated offering expenses payable by us. Similarly, an increase of 1.0 million in the number of shares of common stock offered by us would increase the pro forma as adjusted net tangible book value after this offering by $0.18 per share and decrease the dilution per share to new investors participating in this offering by $0.18 per share, and a decrease of 1.0 million shares of common stock offered by us would decrease the pro forma as adjusted net tangible book value by $0.19 per share, and</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increase the dilution per share to new investors in this offering by $0.19 per share, assuming that the assumed initial public offering price of $19.0 per share, the midpoint of the price range set forth on the cover page of this prospectus, remains the same and after deducting underwriting discounts and commissions and estimated offering expenses payable by us.</w:t>
      </w:r>
    </w:p>
    <w:p>
      <w:pPr>
        <w:spacing w:after="0" w:line="52" w:lineRule="exact"/>
        <w:rPr>
          <w:sz w:val="20"/>
          <w:szCs w:val="20"/>
          <w:color w:val="auto"/>
        </w:rPr>
      </w:pPr>
    </w:p>
    <w:p>
      <w:pPr>
        <w:ind w:left="1240" w:right="1399"/>
        <w:spacing w:after="0" w:line="273" w:lineRule="auto"/>
        <w:rPr>
          <w:sz w:val="20"/>
          <w:szCs w:val="20"/>
          <w:color w:val="auto"/>
        </w:rPr>
      </w:pPr>
      <w:r>
        <w:rPr>
          <w:rFonts w:ascii="Arial" w:cs="Arial" w:eastAsia="Arial" w:hAnsi="Arial"/>
          <w:sz w:val="14"/>
          <w:szCs w:val="14"/>
          <w:color w:val="auto"/>
        </w:rPr>
        <w:t>If the underwriters exercise in full their option to purchase additional shares of common stock from us, the pro forma as adjusted net tangible book value per share after giving effect to this offering at an assumed initial public offering price of $19.0 per share, the midpoint of the price range set forth on the cover page of this prospectus, and after deducting the underwriting discounts and commissions and estimated offering expenses payable by us, would be $8.47 per share, representing an immediate increase to existing stockholders of $2.57 per share, and dilution to new investors participating in this offering of $10.53 per share.</w:t>
      </w:r>
    </w:p>
    <w:p>
      <w:pPr>
        <w:spacing w:after="0" w:line="6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 offering at the assumed initial public offering price of $19.0 per share, the midpoint of the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61595</wp:posOffset>
            </wp:positionV>
            <wp:extent cx="4134485"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06"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Shares purchased</w:t>
            </w:r>
          </w:p>
        </w:tc>
        <w:tc>
          <w:tcPr>
            <w:tcW w:w="1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Total consideration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Average price</w:t>
            </w:r>
          </w:p>
        </w:tc>
      </w:tr>
      <w:tr>
        <w:trPr>
          <w:trHeight w:val="178"/>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Number</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Percent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per share</w:t>
            </w:r>
          </w:p>
        </w:tc>
      </w:tr>
      <w:tr>
        <w:trPr>
          <w:trHeight w:val="171"/>
        </w:trPr>
        <w:tc>
          <w:tcPr>
            <w:tcW w:w="20" w:type="dxa"/>
            <w:vAlign w:val="bottom"/>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$340,000,000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8.10</w:t>
            </w: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New investors</w:t>
            </w:r>
          </w:p>
        </w:tc>
        <w:tc>
          <w:tcPr>
            <w:tcW w:w="860" w:type="dxa"/>
            <w:vAlign w:val="bottom"/>
          </w:tcPr>
          <w:p>
            <w:pPr>
              <w:jc w:val="right"/>
              <w:spacing w:after="0"/>
              <w:rPr>
                <w:sz w:val="20"/>
                <w:szCs w:val="20"/>
                <w:color w:val="auto"/>
              </w:rPr>
            </w:pPr>
            <w:r>
              <w:rPr>
                <w:rFonts w:ascii="Arial" w:cs="Arial" w:eastAsia="Arial" w:hAnsi="Arial"/>
                <w:sz w:val="14"/>
                <w:szCs w:val="14"/>
                <w:color w:val="auto"/>
              </w:rPr>
              <w:t>10.550,000</w:t>
            </w: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$200,450,000</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w w:val="96"/>
              </w:rPr>
              <w:t>19.00</w:t>
            </w: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52,549,061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$540,450,000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jc w:val="both"/>
        <w:ind w:left="1240" w:right="1499"/>
        <w:spacing w:after="0" w:line="278" w:lineRule="auto"/>
        <w:rPr>
          <w:sz w:val="20"/>
          <w:szCs w:val="20"/>
          <w:color w:val="auto"/>
        </w:rPr>
      </w:pPr>
      <w:r>
        <w:rPr>
          <w:rFonts w:ascii="Arial" w:cs="Arial" w:eastAsia="Arial" w:hAnsi="Arial"/>
          <w:sz w:val="14"/>
          <w:szCs w:val="14"/>
          <w:color w:val="auto"/>
        </w:rPr>
        <w:t>If the underwriters exercise in full their option to purchase additional shares in full, our existing stockholders would own 77.5% and our new investors would own 22.5% of the total number of shares of our common stock outstanding upon the closing of this offering.</w:t>
      </w:r>
    </w:p>
    <w:p>
      <w:pPr>
        <w:spacing w:after="0" w:line="5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107" w:lineRule="exact"/>
        <w:rPr>
          <w:sz w:val="20"/>
          <w:szCs w:val="20"/>
          <w:color w:val="auto"/>
        </w:rPr>
      </w:pPr>
    </w:p>
    <w:p>
      <w:pPr>
        <w:ind w:left="1360" w:right="177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66" w:lineRule="exact"/>
        <w:rPr>
          <w:rFonts w:ascii="Arial" w:cs="Arial" w:eastAsia="Arial" w:hAnsi="Arial"/>
          <w:sz w:val="14"/>
          <w:szCs w:val="14"/>
          <w:color w:val="auto"/>
        </w:rPr>
      </w:pPr>
    </w:p>
    <w:p>
      <w:pPr>
        <w:ind w:left="1360" w:right="1319" w:hanging="111"/>
        <w:spacing w:after="0" w:line="263"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73"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66" w:lineRule="exact"/>
        <w:rPr>
          <w:rFonts w:ascii="Arial" w:cs="Arial" w:eastAsia="Arial" w:hAnsi="Arial"/>
          <w:sz w:val="14"/>
          <w:szCs w:val="14"/>
          <w:color w:val="auto"/>
        </w:rPr>
      </w:pPr>
    </w:p>
    <w:p>
      <w:pPr>
        <w:ind w:left="1360" w:right="1259" w:hanging="111"/>
        <w:spacing w:after="0" w:line="27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339" w:hanging="111"/>
        <w:spacing w:after="0" w:line="27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the ESPP will become effective upon the effectiveness of the Registration Statement of which this prospectus forms a part, as well as any future increases in the number of shares of common stock reserved for issuance under the ESPP.</w:t>
      </w:r>
    </w:p>
    <w:p>
      <w:pPr>
        <w:spacing w:after="0" w:line="63"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Selected consolidated financial data</w:t>
      </w:r>
    </w:p>
    <w:p>
      <w:pPr>
        <w:spacing w:after="0" w:line="87"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211455</wp:posOffset>
            </wp:positionV>
            <wp:extent cx="5147945"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7945" cy="13335"/>
                    </a:xfrm>
                    <a:prstGeom prst="rect">
                      <a:avLst/>
                    </a:prstGeom>
                    <a:noFill/>
                  </pic:spPr>
                </pic:pic>
              </a:graphicData>
            </a:graphic>
          </wp:anchor>
        </w:drawing>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Successor Predecessor</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21, 2019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(Inception) to</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6"/>
          </w:tcPr>
          <w:p>
            <w:pPr>
              <w:jc w:val="right"/>
              <w:spacing w:after="0"/>
              <w:rPr>
                <w:sz w:val="20"/>
                <w:szCs w:val="20"/>
                <w:color w:val="auto"/>
              </w:rPr>
            </w:pPr>
            <w:r>
              <w:rPr>
                <w:rFonts w:ascii="Arial" w:cs="Arial" w:eastAsia="Arial" w:hAnsi="Arial"/>
                <w:sz w:val="13"/>
                <w:szCs w:val="13"/>
                <w:b w:val="1"/>
                <w:bCs w:val="1"/>
                <w:color w:val="auto"/>
              </w:rPr>
              <w:t>December 31, December 31,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20,</w:t>
            </w:r>
          </w:p>
        </w:tc>
        <w:tc>
          <w:tcPr>
            <w:tcW w:w="0" w:type="dxa"/>
            <w:vAlign w:val="bottom"/>
          </w:tcPr>
          <w:p>
            <w:pPr>
              <w:spacing w:after="0"/>
              <w:rPr>
                <w:sz w:val="1"/>
                <w:szCs w:val="1"/>
                <w:color w:val="auto"/>
              </w:rPr>
            </w:pPr>
          </w:p>
        </w:tc>
      </w:tr>
      <w:tr>
        <w:trPr>
          <w:trHeight w:val="151"/>
        </w:trPr>
        <w:tc>
          <w:tcPr>
            <w:tcW w:w="3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15,374 $</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2,688</w:t>
            </w:r>
          </w:p>
        </w:tc>
        <w:tc>
          <w:tcPr>
            <w:tcW w:w="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2,050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3,622</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ind w:left="140"/>
              <w:spacing w:after="0" w:line="150" w:lineRule="exact"/>
              <w:rPr>
                <w:sz w:val="20"/>
                <w:szCs w:val="20"/>
                <w:color w:val="auto"/>
              </w:rPr>
            </w:pPr>
            <w:r>
              <w:rPr>
                <w:rFonts w:ascii="Arial" w:cs="Arial" w:eastAsia="Arial" w:hAnsi="Arial"/>
                <w:sz w:val="14"/>
                <w:szCs w:val="14"/>
                <w:color w:val="auto"/>
              </w:rPr>
              <w:t>Write off of in-process research and development asset</w:t>
            </w: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320"/>
              <w:spacing w:after="0" w:line="150"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4,722</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225,946</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tcPr>
          <w:p>
            <w:pPr>
              <w:ind w:left="280"/>
              <w:spacing w:after="0" w:line="130"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18,062</w:t>
            </w:r>
          </w:p>
        </w:tc>
        <w:tc>
          <w:tcPr>
            <w:tcW w:w="300" w:type="dxa"/>
            <w:vAlign w:val="bottom"/>
          </w:tcPr>
          <w:p>
            <w:pPr>
              <w:spacing w:after="0"/>
              <w:rPr>
                <w:sz w:val="11"/>
                <w:szCs w:val="11"/>
                <w:color w:val="auto"/>
              </w:rPr>
            </w:pPr>
          </w:p>
        </w:tc>
        <w:tc>
          <w:tcPr>
            <w:tcW w:w="420" w:type="dxa"/>
            <w:vAlign w:val="bottom"/>
          </w:tcPr>
          <w:p>
            <w:pPr>
              <w:jc w:val="right"/>
              <w:spacing w:after="0" w:line="130" w:lineRule="exact"/>
              <w:rPr>
                <w:sz w:val="20"/>
                <w:szCs w:val="20"/>
                <w:color w:val="auto"/>
              </w:rPr>
            </w:pPr>
            <w:r>
              <w:rPr>
                <w:rFonts w:ascii="Arial" w:cs="Arial" w:eastAsia="Arial" w:hAnsi="Arial"/>
                <w:sz w:val="14"/>
                <w:szCs w:val="14"/>
                <w:color w:val="auto"/>
              </w:rPr>
              <w:t>9,993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53,898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239,675</w:t>
            </w: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(18,062)</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(9,993)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(239,675)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(314)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320</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704</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908</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color w:val="auto"/>
              </w:rPr>
              <w:t>(18,348)$</w:t>
            </w:r>
          </w:p>
        </w:tc>
        <w:tc>
          <w:tcPr>
            <w:tcW w:w="580" w:type="dxa"/>
            <w:vAlign w:val="bottom"/>
            <w:tcBorders>
              <w:bottom w:val="single" w:sz="8" w:color="auto"/>
            </w:tcBorders>
            <w:gridSpan w:val="3"/>
          </w:tcPr>
          <w:p>
            <w:pPr>
              <w:jc w:val="right"/>
              <w:ind w:right="40"/>
              <w:spacing w:after="0" w:line="141" w:lineRule="exact"/>
              <w:rPr>
                <w:sz w:val="20"/>
                <w:szCs w:val="20"/>
                <w:color w:val="auto"/>
              </w:rPr>
            </w:pPr>
            <w:r>
              <w:rPr>
                <w:rFonts w:ascii="Arial" w:cs="Arial" w:eastAsia="Arial" w:hAnsi="Arial"/>
                <w:sz w:val="14"/>
                <w:szCs w:val="14"/>
                <w:color w:val="auto"/>
                <w:w w:val="99"/>
              </w:rPr>
              <w:t>(9,673)$</w:t>
            </w:r>
          </w:p>
        </w:tc>
        <w:tc>
          <w:tcPr>
            <w:tcW w:w="84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(53,575)</w:t>
            </w:r>
          </w:p>
        </w:tc>
        <w:tc>
          <w:tcPr>
            <w:tcW w:w="1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(238,767)$</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(6,002)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loss per common share</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840" w:type="dxa"/>
            <w:vAlign w:val="bottom"/>
          </w:tcPr>
          <w:p>
            <w:pPr>
              <w:ind w:left="140"/>
              <w:spacing w:after="0" w:line="150"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1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50" w:lineRule="exact"/>
              <w:rPr>
                <w:sz w:val="20"/>
                <w:szCs w:val="20"/>
                <w:color w:val="auto"/>
              </w:rPr>
            </w:pPr>
            <w:r>
              <w:rPr>
                <w:rFonts w:ascii="Arial" w:cs="Arial" w:eastAsia="Arial" w:hAnsi="Arial"/>
                <w:sz w:val="14"/>
                <w:szCs w:val="14"/>
                <w:color w:val="auto"/>
              </w:rPr>
              <w:t>(2.39)$</w:t>
            </w:r>
          </w:p>
        </w:tc>
        <w:tc>
          <w:tcPr>
            <w:tcW w:w="580" w:type="dxa"/>
            <w:vAlign w:val="bottom"/>
            <w:tcBorders>
              <w:bottom w:val="single" w:sz="8" w:color="auto"/>
            </w:tcBorders>
            <w:gridSpan w:val="3"/>
          </w:tcPr>
          <w:p>
            <w:pPr>
              <w:jc w:val="right"/>
              <w:ind w:right="40"/>
              <w:spacing w:after="0" w:line="150" w:lineRule="exact"/>
              <w:rPr>
                <w:sz w:val="20"/>
                <w:szCs w:val="20"/>
                <w:color w:val="auto"/>
              </w:rPr>
            </w:pPr>
            <w:r>
              <w:rPr>
                <w:rFonts w:ascii="Arial" w:cs="Arial" w:eastAsia="Arial" w:hAnsi="Arial"/>
                <w:sz w:val="14"/>
                <w:szCs w:val="14"/>
                <w:color w:val="auto"/>
              </w:rPr>
              <w:t>(1.29)$</w:t>
            </w:r>
          </w:p>
        </w:tc>
        <w:tc>
          <w:tcPr>
            <w:tcW w:w="84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(7.16)</w:t>
            </w:r>
          </w:p>
        </w:tc>
        <w:tc>
          <w:tcPr>
            <w:tcW w:w="1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(31.91)$</w:t>
            </w:r>
          </w:p>
        </w:tc>
        <w:tc>
          <w:tcPr>
            <w:tcW w:w="7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Weighted average common shares outstanding Basic</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shd w:val="clear" w:color="auto" w:fill="CCEEFF"/>
          </w:tcPr>
          <w:p>
            <w:pPr>
              <w:ind w:left="140"/>
              <w:spacing w:after="0" w:line="194" w:lineRule="exact"/>
              <w:rPr>
                <w:sz w:val="20"/>
                <w:szCs w:val="20"/>
                <w:color w:val="auto"/>
              </w:rPr>
            </w:pPr>
            <w:r>
              <w:rPr>
                <w:rFonts w:ascii="Arial" w:cs="Arial" w:eastAsia="Arial" w:hAnsi="Arial"/>
                <w:sz w:val="14"/>
                <w:szCs w:val="14"/>
                <w:color w:val="auto"/>
              </w:rPr>
              <w:t>and Diluted</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7,677,196  7,481,861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line="131" w:lineRule="exact"/>
              <w:rPr>
                <w:sz w:val="20"/>
                <w:szCs w:val="20"/>
                <w:color w:val="auto"/>
              </w:rPr>
            </w:pPr>
            <w:r>
              <w:rPr>
                <w:rFonts w:ascii="Arial" w:cs="Arial" w:eastAsia="Arial" w:hAnsi="Arial"/>
                <w:sz w:val="14"/>
                <w:szCs w:val="14"/>
                <w:color w:val="auto"/>
              </w:rPr>
              <w:t>Pro forma net loss per share attributable to common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40" w:type="dxa"/>
            <w:vAlign w:val="bottom"/>
          </w:tcPr>
          <w:p>
            <w:pPr>
              <w:ind w:left="140"/>
              <w:spacing w:after="0" w:line="194" w:lineRule="exact"/>
              <w:rPr>
                <w:sz w:val="20"/>
                <w:szCs w:val="20"/>
                <w:color w:val="auto"/>
              </w:rPr>
            </w:pPr>
            <w:r>
              <w:rPr>
                <w:rFonts w:ascii="Arial" w:cs="Arial" w:eastAsia="Arial" w:hAnsi="Arial"/>
                <w:sz w:val="14"/>
                <w:szCs w:val="14"/>
                <w:color w:val="auto"/>
              </w:rPr>
              <w:t>stockholders – basic and diluted (unaudited)</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(0.44)</w:t>
            </w:r>
          </w:p>
        </w:tc>
        <w:tc>
          <w:tcPr>
            <w:tcW w:w="42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Pro forma weighted-average number of common</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4"/>
                <w:szCs w:val="14"/>
                <w:color w:val="auto"/>
              </w:rPr>
              <w:t>shares – basic and diluted (unaudited)</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41,803,724</w:t>
            </w: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41,608,389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40" w:right="1279" w:firstLine="9"/>
        <w:spacing w:after="0" w:line="246" w:lineRule="auto"/>
        <w:tabs>
          <w:tab w:leader="none" w:pos="1411"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60" w:lineRule="exact"/>
        <w:rPr>
          <w:rFonts w:ascii="Arial" w:cs="Arial" w:eastAsia="Arial" w:hAnsi="Arial"/>
          <w:sz w:val="11"/>
          <w:szCs w:val="11"/>
          <w:color w:val="auto"/>
        </w:rPr>
      </w:pPr>
    </w:p>
    <w:p>
      <w:pPr>
        <w:ind w:left="1240" w:right="1279" w:firstLine="9"/>
        <w:spacing w:after="0" w:line="246" w:lineRule="auto"/>
        <w:tabs>
          <w:tab w:leader="none" w:pos="1411"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2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2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40" w:right="1379" w:firstLine="9"/>
        <w:spacing w:after="0" w:line="248" w:lineRule="auto"/>
        <w:tabs>
          <w:tab w:leader="none" w:pos="1411" w:val="left"/>
        </w:tabs>
        <w:numPr>
          <w:ilvl w:val="0"/>
          <w:numId w:val="57"/>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279"/>
        <w:spacing w:after="0" w:line="248" w:lineRule="auto"/>
        <w:rPr>
          <w:sz w:val="20"/>
          <w:szCs w:val="20"/>
          <w:color w:val="auto"/>
        </w:rPr>
      </w:pPr>
      <w:r>
        <w:rPr>
          <w:rFonts w:ascii="Arial" w:cs="Arial" w:eastAsia="Arial" w:hAnsi="Arial"/>
          <w:sz w:val="23"/>
          <w:szCs w:val="23"/>
          <w:b w:val="1"/>
          <w:bCs w:val="1"/>
          <w:color w:val="auto"/>
        </w:rPr>
        <w:t>Management’s discussion and analysis of financial condition and results of operations</w:t>
      </w:r>
    </w:p>
    <w:p>
      <w:pPr>
        <w:spacing w:after="0" w:line="59"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unaudited condensed consolidated financial statements and the related notes thereto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left="1240" w:right="129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CARs,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 The IPR&amp;D asset acquired was Prior Century’s comprehensive allogeneic cell therapy platform.</w:t>
      </w:r>
    </w:p>
    <w:p>
      <w:pPr>
        <w:spacing w:after="0" w:line="2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07"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approved for sale. Since our inception, we have incurred net losses each year. We had an accumulated deficit of $310.7 million as of March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68"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$340 million in net proceeds from sales of our equity securities. As of March 31, 2021, we had cash, and cash equivalents of $79.5 million and marketable securities of $166.6 million. Based on our current business plans, we believe that the net proceeds from this offering, together with our existing cash, cash equivalents and marketable securities, will be sufficient for us to fund our operating expenses and capital expenditures requirements for the next 42 months from the date of this filing. We have based this estimate on assumptions that may prove to be wrong, and we could exhaust our available capital resources sooner than we expect.</w:t>
      </w:r>
    </w:p>
    <w:p>
      <w:pPr>
        <w:spacing w:after="0" w:line="110"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anticipate that our expenses and operating losses will increase substantially over the foreseeable future. The expected increase in expenses will be driven in large part by our ongoing activities, if and as we:</w:t>
      </w:r>
    </w:p>
    <w:p>
      <w:pPr>
        <w:spacing w:after="0" w:line="81" w:lineRule="exact"/>
        <w:rPr>
          <w:sz w:val="20"/>
          <w:szCs w:val="20"/>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continue to advance our iPSC cell therapy platforms;</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continuing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establish and validate our own clinical-scale cGMP facilities;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0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17"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 (FCDI)</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 Prior Century recorded acquired research and development expense of $75 thousand in 2018 based on the fair market value of Prior Century common stock of $0.03 per share.</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Also on September 18, 2018, we entered into the non-exclusive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279"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On October 21, 2019, we entered into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9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During the period ended March 31, 2021, under the terms of the Reprogramming License and the Collaboration Agreement, the Company made payments of $3.2 million and incurred research and development expenses of $2.8 million and legal fees of $21 thousand recorded within general and administrative expenses within its consolidated statements of operations. As of March 31, 2021, there were $1.4 million of payables recorded within accounts payable on the consolidated balance sheets related to the Collaboration Agreement.</w:t>
      </w:r>
    </w:p>
    <w:p>
      <w:pPr>
        <w:spacing w:after="0" w:line="10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within its consolidated statements of operations. As of December 31, 2020, there were</w:t>
      </w:r>
    </w:p>
    <w:p>
      <w:pPr>
        <w:spacing w:after="0" w:line="21"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$1.8 million of payables recorded within accounts payable on the consolidated balance sheets related to the Collaboration Agreement.</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During the Successor period June 21, 2019 through December 31, 2019, under the terms of the Reprogramming License and the Collaboration Agreement, we made payments of $4.8 million, of which $2.1 million is classified 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110"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05" w:lineRule="exact"/>
        <w:rPr>
          <w:sz w:val="20"/>
          <w:szCs w:val="20"/>
          <w:color w:val="auto"/>
        </w:rPr>
      </w:pPr>
    </w:p>
    <w:p>
      <w:pPr>
        <w:ind w:left="1240" w:right="2099"/>
        <w:spacing w:after="0" w:line="286" w:lineRule="auto"/>
        <w:rPr>
          <w:sz w:val="20"/>
          <w:szCs w:val="20"/>
          <w:color w:val="auto"/>
        </w:rPr>
      </w:pPr>
      <w:r>
        <w:rPr>
          <w:rFonts w:ascii="Arial" w:cs="Arial" w:eastAsia="Arial" w:hAnsi="Arial"/>
          <w:sz w:val="14"/>
          <w:szCs w:val="14"/>
          <w:color w:val="auto"/>
        </w:rPr>
        <w:t>As of March 31, 2021, we incurred $17.1 million of the $30.4 million budget under the Collaboration Agreement.</w:t>
      </w:r>
    </w:p>
    <w:p>
      <w:pPr>
        <w:spacing w:after="0" w:line="87"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We also have entered into a sublicense agreement with iCELL Inc. and a master services agreement with Distributed Bio, Inc. See Note 11 to our consolidated financial statements included elsewhere in this prospectus.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Empirica acquisition</w:t>
      </w:r>
    </w:p>
    <w:p>
      <w:pPr>
        <w:spacing w:after="0" w:line="140"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$0.4 million and $0.3 million compensation in research and development expense for the three months ended March 31, 2021 and the year ended December 31, 2020, respectively. For further details regarding this acquisition, see Note 4 to our audited consolidated financial statements included elsewhere in this prospectus.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Components of operating results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Research and development</w:t>
      </w:r>
    </w:p>
    <w:p>
      <w:pPr>
        <w:spacing w:after="0" w:line="131"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6"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6"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General and administrative</w:t>
      </w:r>
    </w:p>
    <w:p>
      <w:pPr>
        <w:spacing w:after="0" w:line="142"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06" w:lineRule="exact"/>
        <w:rPr>
          <w:sz w:val="20"/>
          <w:szCs w:val="20"/>
          <w:color w:val="auto"/>
        </w:rPr>
      </w:pPr>
    </w:p>
    <w:p>
      <w:pPr>
        <w:ind w:left="1240" w:right="1359"/>
        <w:spacing w:after="0" w:line="292" w:lineRule="auto"/>
        <w:rPr>
          <w:sz w:val="20"/>
          <w:szCs w:val="20"/>
          <w:color w:val="auto"/>
        </w:rPr>
      </w:pPr>
      <w:r>
        <w:rPr>
          <w:rFonts w:ascii="Arial" w:cs="Arial" w:eastAsia="Arial" w:hAnsi="Arial"/>
          <w:sz w:val="14"/>
          <w:szCs w:val="14"/>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Write-off of in-process research and development</w:t>
      </w:r>
    </w:p>
    <w:p>
      <w:pPr>
        <w:spacing w:after="0" w:line="131" w:lineRule="exact"/>
        <w:rPr>
          <w:sz w:val="20"/>
          <w:szCs w:val="20"/>
          <w:color w:val="auto"/>
        </w:rPr>
      </w:pPr>
    </w:p>
    <w:p>
      <w:pPr>
        <w:jc w:val="both"/>
        <w:ind w:left="1240" w:right="1319"/>
        <w:spacing w:after="0" w:line="294" w:lineRule="auto"/>
        <w:rPr>
          <w:sz w:val="20"/>
          <w:szCs w:val="20"/>
          <w:color w:val="auto"/>
        </w:rPr>
      </w:pPr>
      <w:r>
        <w:rPr>
          <w:rFonts w:ascii="Arial" w:cs="Arial" w:eastAsia="Arial" w:hAnsi="Arial"/>
          <w:sz w:val="14"/>
          <w:szCs w:val="14"/>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Interest income, net consists of interest earned on our cash, cash equivalents and investment balance.</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33"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Results of operations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Comparison of the three months ended March 31, 2021 and 2020</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2021</w:t>
            </w:r>
          </w:p>
        </w:tc>
        <w:tc>
          <w:tcPr>
            <w:tcW w:w="15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2020</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15,374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7,943</w:t>
            </w:r>
          </w:p>
        </w:tc>
        <w:tc>
          <w:tcPr>
            <w:tcW w:w="540" w:type="dxa"/>
            <w:vAlign w:val="bottom"/>
          </w:tcPr>
          <w:p>
            <w:pPr>
              <w:jc w:val="right"/>
              <w:spacing w:after="0"/>
              <w:rPr>
                <w:sz w:val="20"/>
                <w:szCs w:val="20"/>
                <w:color w:val="auto"/>
              </w:rPr>
            </w:pPr>
            <w:r>
              <w:rPr>
                <w:rFonts w:ascii="Arial" w:cs="Arial" w:eastAsia="Arial" w:hAnsi="Arial"/>
                <w:sz w:val="14"/>
                <w:szCs w:val="14"/>
                <w:color w:val="auto"/>
              </w:rPr>
              <w:t>$ 7,431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2,688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60" w:type="dxa"/>
            <w:vAlign w:val="bottom"/>
            <w:gridSpan w:val="2"/>
            <w:vMerge w:val="continue"/>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9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9"/>
              <w:spacing w:after="0" w:line="13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(18,348)</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$(8,675)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-556895</wp:posOffset>
            </wp:positionV>
            <wp:extent cx="18700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7007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r>
      <w:tr>
        <w:trPr>
          <w:trHeight w:val="178"/>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2"/>
          </w:tcPr>
          <w:p>
            <w:pPr>
              <w:jc w:val="center"/>
              <w:ind w:left="332"/>
              <w:spacing w:after="0"/>
              <w:rPr>
                <w:sz w:val="20"/>
                <w:szCs w:val="20"/>
                <w:color w:val="auto"/>
              </w:rPr>
            </w:pPr>
            <w:r>
              <w:rPr>
                <w:rFonts w:ascii="Arial" w:cs="Arial" w:eastAsia="Arial" w:hAnsi="Arial"/>
                <w:sz w:val="13"/>
                <w:szCs w:val="13"/>
                <w:b w:val="1"/>
                <w:bCs w:val="1"/>
                <w:color w:val="auto"/>
              </w:rPr>
              <w:t>March 31, 2020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$ 2,201</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Facility and other allocated costs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2,075</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668</w:t>
            </w:r>
          </w:p>
        </w:tc>
        <w:tc>
          <w:tcPr>
            <w:tcW w:w="54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Collaborations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2,906</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2,877</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7"/>
        </w:trPr>
        <w:tc>
          <w:tcPr>
            <w:tcW w:w="3100" w:type="dxa"/>
            <w:vAlign w:val="bottom"/>
            <w:gridSpan w:val="2"/>
          </w:tcPr>
          <w:p>
            <w:pPr>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653</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225"/>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$ 7,431</w:t>
            </w: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9653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5325" cy="6985"/>
                    </a:xfrm>
                    <a:prstGeom prst="rect">
                      <a:avLst/>
                    </a:prstGeom>
                    <a:noFill/>
                  </pic:spPr>
                </pic:pic>
              </a:graphicData>
            </a:graphic>
          </wp:anchor>
        </w:drawing>
      </w:r>
    </w:p>
    <w:p>
      <w:pPr>
        <w:spacing w:after="0" w:line="86"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Research and development expenses were $15.4 million for the three months ended March 31, 2021 and $7.9 million for the three months ended March 31, 2020. The increase of $7.4 million was primarily due to:</w:t>
      </w:r>
    </w:p>
    <w:p>
      <w:pPr>
        <w:spacing w:after="0" w:line="81" w:lineRule="exact"/>
        <w:rPr>
          <w:sz w:val="20"/>
          <w:szCs w:val="20"/>
          <w:color w:val="auto"/>
        </w:rPr>
      </w:pPr>
    </w:p>
    <w:p>
      <w:pPr>
        <w:ind w:left="1360" w:right="127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in personnel-related expenses of $2.2 million, which was primarily attributable to an increase in headcount to expand our research and development capabilities;</w:t>
      </w:r>
    </w:p>
    <w:p>
      <w:pPr>
        <w:spacing w:after="0" w:line="44"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$1.4 million of facility and other allocated costs, including rent and allocated overhead costs as a result of an expansion of our geographic footprint for office and lab space;</w:t>
      </w:r>
    </w:p>
    <w:p>
      <w:pPr>
        <w:spacing w:after="0" w:line="44"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$2.6 million in research and laboratory costs, including laboratory supplies, preclinical studies, and other external research expenses;</w:t>
      </w:r>
    </w:p>
    <w:p>
      <w:pPr>
        <w:spacing w:after="0" w:line="55"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$0.6 million of consulting costs primarily for temporary personnel to assist in the expansion of our research and development capabilities; and</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increase of $0.5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General and administrative expenses were $2.7 million for the three months ended March 31, 2021 and $2.1 million for three months ended March 31, 2020. The increase of $0.6 million was primarily due to increased personnel-related expenses of $0.4 million primarily attributable to an increase in headcount to build our infrastructure, and increased consulting and legal fees of $0.2 million.</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3"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Interest expense was $0.3 million for the three months ended March 31, 2021,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Interest income was $28 thousand for the three months ended March 31, 2021 and $0.3 million for the three months ended March 31, 2020, which included interest earned on our cash, cash equivalents, and short-term and long-term investment balances.</w:t>
      </w:r>
    </w:p>
    <w:p>
      <w:pPr>
        <w:spacing w:after="0" w:line="123"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Comparison of the Year Ended December 31, 2020 (Successor) to the period from June 21, 2019 through December 31, 2019 (Successor), and the Period from January 1, 2019 through June 20, 2019 (Predecessor)</w:t>
      </w:r>
    </w:p>
    <w:p>
      <w:pPr>
        <w:spacing w:after="0" w:line="11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pacing w:after="0" w:line="10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Successor</w:t>
            </w:r>
          </w:p>
        </w:tc>
        <w:tc>
          <w:tcPr>
            <w:tcW w:w="10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Successor</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June 21, 2019</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year ended</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(Inception) to</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2019 to</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3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December 31, 2019</w:t>
            </w:r>
          </w:p>
        </w:tc>
        <w:tc>
          <w:tcPr>
            <w:tcW w:w="10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June 20, 2019</w:t>
            </w:r>
          </w:p>
        </w:tc>
        <w:tc>
          <w:tcPr>
            <w:tcW w:w="1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2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39,681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10,107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25,415</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9,495</w:t>
            </w:r>
          </w:p>
        </w:tc>
        <w:tc>
          <w:tcPr>
            <w:tcW w:w="6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3,622</w:t>
            </w:r>
          </w:p>
        </w:tc>
        <w:tc>
          <w:tcPr>
            <w:tcW w:w="4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2,145</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Write off of in-process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asset</w:t>
            </w:r>
          </w:p>
        </w:tc>
        <w:tc>
          <w:tcPr>
            <w:tcW w:w="74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4,722</w:t>
            </w:r>
          </w:p>
        </w:tc>
        <w:tc>
          <w:tcPr>
            <w:tcW w:w="6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225,946</w:t>
            </w:r>
          </w:p>
        </w:tc>
        <w:tc>
          <w:tcPr>
            <w:tcW w:w="480" w:type="dxa"/>
            <w:vAlign w:val="bottom"/>
          </w:tcPr>
          <w:p>
            <w:pPr>
              <w:spacing w:after="0"/>
              <w:rPr>
                <w:sz w:val="14"/>
                <w:szCs w:val="14"/>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6"/>
              </w:rPr>
              <w:t>(221,224)</w:t>
            </w: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53,898</w:t>
            </w: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239,675</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(192,081)</w:t>
            </w:r>
          </w:p>
        </w:tc>
        <w:tc>
          <w:tcPr>
            <w:tcW w:w="40" w:type="dxa"/>
            <w:vAlign w:val="bottom"/>
          </w:tcPr>
          <w:p>
            <w:pPr>
              <w:spacing w:after="0"/>
              <w:rPr>
                <w:sz w:val="14"/>
                <w:szCs w:val="14"/>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4"/>
                <w:szCs w:val="14"/>
                <w:color w:val="auto"/>
              </w:rPr>
              <w:t>Loss from operations</w:t>
            </w: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(53,898)</w:t>
            </w: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bottom w:val="single" w:sz="8" w:color="CCEEFF"/>
            </w:tcBorders>
            <w:gridSpan w:val="2"/>
            <w:shd w:val="clear" w:color="auto" w:fill="CCEEFF"/>
          </w:tcPr>
          <w:p>
            <w:pPr>
              <w:spacing w:after="0" w:line="154" w:lineRule="exact"/>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704</w:t>
            </w:r>
          </w:p>
        </w:tc>
        <w:tc>
          <w:tcPr>
            <w:tcW w:w="6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908</w:t>
            </w:r>
          </w:p>
        </w:tc>
        <w:tc>
          <w:tcPr>
            <w:tcW w:w="4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w:t>
            </w:r>
          </w:p>
        </w:tc>
        <w:tc>
          <w:tcPr>
            <w:tcW w:w="40" w:type="dxa"/>
            <w:vAlign w:val="bottom"/>
          </w:tcPr>
          <w:p>
            <w:pPr>
              <w:spacing w:after="0"/>
              <w:rPr>
                <w:sz w:val="13"/>
                <w:szCs w:val="13"/>
                <w:color w:val="auto"/>
              </w:rPr>
            </w:pPr>
          </w:p>
        </w:tc>
      </w:tr>
      <w:tr>
        <w:trPr>
          <w:trHeight w:val="187"/>
        </w:trPr>
        <w:tc>
          <w:tcPr>
            <w:tcW w:w="21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w:t>
            </w:r>
          </w:p>
        </w:tc>
        <w:tc>
          <w:tcPr>
            <w:tcW w:w="6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(381)</w:t>
            </w:r>
          </w:p>
        </w:tc>
      </w:tr>
      <w:tr>
        <w:trPr>
          <w:trHeight w:val="180"/>
        </w:trPr>
        <w:tc>
          <w:tcPr>
            <w:tcW w:w="20" w:type="dxa"/>
            <w:vAlign w:val="bottom"/>
          </w:tcPr>
          <w:p>
            <w:pPr>
              <w:spacing w:after="0"/>
              <w:rPr>
                <w:sz w:val="15"/>
                <w:szCs w:val="15"/>
                <w:color w:val="auto"/>
              </w:rPr>
            </w:pP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auto"/>
              <w:bottom w:val="single" w:sz="8" w:color="CCEEFF"/>
            </w:tcBorders>
            <w:shd w:val="clear" w:color="auto" w:fill="CCEEFF"/>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191,194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13804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80490" cy="698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-536575</wp:posOffset>
            </wp:positionV>
            <wp:extent cx="273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13804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0490" cy="698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Successor</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year ended</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21, 2019 to</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January 1, 2019 to</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7"/>
        </w:trPr>
        <w:tc>
          <w:tcPr>
            <w:tcW w:w="3200" w:type="dxa"/>
            <w:vAlign w:val="bottom"/>
            <w:gridSpan w:val="2"/>
          </w:tcPr>
          <w:p>
            <w:pPr>
              <w:ind w:left="980"/>
              <w:spacing w:after="0"/>
              <w:rPr>
                <w:sz w:val="20"/>
                <w:szCs w:val="20"/>
                <w:color w:val="auto"/>
              </w:rPr>
            </w:pPr>
            <w:r>
              <w:rPr>
                <w:rFonts w:ascii="Arial" w:cs="Arial" w:eastAsia="Arial" w:hAnsi="Arial"/>
                <w:sz w:val="13"/>
                <w:szCs w:val="13"/>
                <w:b w:val="1"/>
                <w:bCs w:val="1"/>
                <w:color w:val="auto"/>
              </w:rPr>
              <w:t>(in thousands)</w:t>
            </w:r>
          </w:p>
        </w:tc>
        <w:tc>
          <w:tcPr>
            <w:tcW w:w="248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20, 2019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$ 14,901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3,262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3,012</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10,518</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Collaborations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9,002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3,139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4,220</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Consulting</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730</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1,268</w:t>
            </w: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2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research and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31"/>
        </w:trPr>
        <w:tc>
          <w:tcPr>
            <w:tcW w:w="100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development expense</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$ 39,681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25,415</w:t>
            </w:r>
          </w:p>
        </w:tc>
        <w:tc>
          <w:tcPr>
            <w:tcW w:w="1000" w:type="dxa"/>
            <w:vAlign w:val="bottom"/>
          </w:tcPr>
          <w:p>
            <w:pPr>
              <w:spacing w:after="0"/>
              <w:rPr>
                <w:sz w:val="19"/>
                <w:szCs w:val="19"/>
                <w:color w:val="auto"/>
              </w:rPr>
            </w:pPr>
          </w:p>
        </w:tc>
      </w:tr>
      <w:tr>
        <w:trPr>
          <w:trHeight w:val="504"/>
        </w:trPr>
        <w:tc>
          <w:tcPr>
            <w:tcW w:w="10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76</w:t>
            </w:r>
          </w:p>
        </w:tc>
        <w:tc>
          <w:tcPr>
            <w:tcW w:w="7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14008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0081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4" w:lineRule="auto"/>
        <w:rPr>
          <w:sz w:val="20"/>
          <w:szCs w:val="20"/>
          <w:color w:val="auto"/>
        </w:rPr>
      </w:pPr>
      <w:r>
        <w:rPr>
          <w:rFonts w:ascii="Arial" w:cs="Arial" w:eastAsia="Arial" w:hAnsi="Arial"/>
          <w:sz w:val="14"/>
          <w:szCs w:val="14"/>
          <w:color w:val="auto"/>
        </w:rPr>
        <w:t>Research and development expenses were $39.7 million for the year ended December 31, 2020 and $14.3 million for the year ended December 31, 2019. The increase of $25.4 million was primarily due to:</w:t>
      </w:r>
    </w:p>
    <w:p>
      <w:pPr>
        <w:spacing w:after="0" w:line="72" w:lineRule="exact"/>
        <w:rPr>
          <w:sz w:val="20"/>
          <w:szCs w:val="20"/>
          <w:color w:val="auto"/>
        </w:rPr>
      </w:pPr>
    </w:p>
    <w:p>
      <w:pPr>
        <w:ind w:left="1360" w:right="127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in personnel-related expenses of $9.9 million, which was primarily attributable to an increase in headcount to expand our research and development capabilities;</w:t>
      </w:r>
    </w:p>
    <w:p>
      <w:pPr>
        <w:spacing w:after="0" w:line="87"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$3.0 million of facility and other allocated costs, including rent and allocated overhead costs as a result of an expansion of our geographic footprint for office and lab space;</w:t>
      </w:r>
    </w:p>
    <w:p>
      <w:pPr>
        <w:spacing w:after="0" w:line="7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$7.6 million in research and laboratory costs, including laboratory supplies, preclinical studies, and other external research expenses;</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$4.2 million for collaborative arrangements with FCDI;</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$0.5 million of consulting costs primarily for temporary personnel to assist in the expansion of our research and development capabilities; and</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increase of $0.1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4" w:lineRule="exact"/>
        <w:rPr>
          <w:sz w:val="20"/>
          <w:szCs w:val="20"/>
          <w:color w:val="auto"/>
        </w:rPr>
      </w:pPr>
    </w:p>
    <w:p>
      <w:pPr>
        <w:ind w:left="1240" w:right="1399"/>
        <w:spacing w:after="0" w:line="291" w:lineRule="auto"/>
        <w:rPr>
          <w:sz w:val="20"/>
          <w:szCs w:val="20"/>
          <w:color w:val="auto"/>
        </w:rPr>
      </w:pPr>
      <w:r>
        <w:rPr>
          <w:rFonts w:ascii="Arial" w:cs="Arial" w:eastAsia="Arial" w:hAnsi="Arial"/>
          <w:sz w:val="14"/>
          <w:szCs w:val="14"/>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Write-off of in-process research and development</w:t>
      </w:r>
    </w:p>
    <w:p>
      <w:pPr>
        <w:spacing w:after="0" w:line="133" w:lineRule="exact"/>
        <w:rPr>
          <w:sz w:val="20"/>
          <w:szCs w:val="20"/>
          <w:color w:val="auto"/>
        </w:rPr>
      </w:pPr>
    </w:p>
    <w:p>
      <w:pPr>
        <w:ind w:left="1240" w:right="1559"/>
        <w:spacing w:after="0" w:line="294" w:lineRule="auto"/>
        <w:rPr>
          <w:sz w:val="20"/>
          <w:szCs w:val="20"/>
          <w:color w:val="auto"/>
        </w:rPr>
      </w:pPr>
      <w:r>
        <w:rPr>
          <w:rFonts w:ascii="Arial" w:cs="Arial" w:eastAsia="Arial" w:hAnsi="Arial"/>
          <w:sz w:val="14"/>
          <w:szCs w:val="14"/>
          <w:color w:val="auto"/>
        </w:rPr>
        <w:t>The write off of in-process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519"/>
        <w:spacing w:after="0" w:line="302" w:lineRule="auto"/>
        <w:rPr>
          <w:sz w:val="20"/>
          <w:szCs w:val="20"/>
          <w:color w:val="auto"/>
        </w:rPr>
      </w:pPr>
      <w:r>
        <w:rPr>
          <w:rFonts w:ascii="Arial" w:cs="Arial" w:eastAsia="Arial" w:hAnsi="Arial"/>
          <w:sz w:val="14"/>
          <w:szCs w:val="14"/>
          <w:color w:val="auto"/>
        </w:rPr>
        <w:t>Interest expense was $0.4 million for the year ended December 31, 2020,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jc w:val="both"/>
        <w:ind w:left="1240" w:right="1439"/>
        <w:spacing w:after="0" w:line="294" w:lineRule="auto"/>
        <w:rPr>
          <w:sz w:val="20"/>
          <w:szCs w:val="20"/>
          <w:color w:val="auto"/>
        </w:rPr>
      </w:pPr>
      <w:r>
        <w:rPr>
          <w:rFonts w:ascii="Arial" w:cs="Arial" w:eastAsia="Arial" w:hAnsi="Arial"/>
          <w:sz w:val="14"/>
          <w:szCs w:val="14"/>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Unaudited pro forma information</w:t>
      </w:r>
    </w:p>
    <w:p>
      <w:pPr>
        <w:spacing w:after="0" w:line="129"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Immediately prior to the completion of this offering, all outstanding shares of our convertible preferred stock will convert into an aggregate of 34,126,528 shares of common stock upon the closing of this offering. The unaudited pro forma basic and diluted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Pro forma net loss per share does not include the shares expected to be sold in this offering.</w:t>
      </w:r>
    </w:p>
    <w:p>
      <w:pPr>
        <w:spacing w:after="0" w:line="109" w:lineRule="exact"/>
        <w:rPr>
          <w:sz w:val="20"/>
          <w:szCs w:val="20"/>
          <w:color w:val="auto"/>
        </w:rPr>
      </w:pPr>
    </w:p>
    <w:p>
      <w:pPr>
        <w:ind w:left="1240" w:right="1499"/>
        <w:spacing w:after="0" w:line="302" w:lineRule="auto"/>
        <w:rPr>
          <w:sz w:val="20"/>
          <w:szCs w:val="20"/>
          <w:color w:val="auto"/>
        </w:rPr>
      </w:pPr>
      <w:r>
        <w:rPr>
          <w:rFonts w:ascii="Arial" w:cs="Arial" w:eastAsia="Arial" w:hAnsi="Arial"/>
          <w:sz w:val="14"/>
          <w:szCs w:val="14"/>
          <w:color w:val="auto"/>
        </w:rPr>
        <w:t>The following table sets forth the computation of the unaudited pro forma basic and diluted net loss per share of common stock for the periods presented: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149"/>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4"/>
                <w:szCs w:val="14"/>
                <w:color w:val="auto"/>
              </w:rPr>
            </w:pPr>
          </w:p>
        </w:tc>
      </w:tr>
      <w:tr>
        <w:trPr>
          <w:trHeight w:val="178"/>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2660" w:type="dxa"/>
            <w:vAlign w:val="bottom"/>
            <w:gridSpan w:val="5"/>
          </w:tcPr>
          <w:p>
            <w:pPr>
              <w:ind w:left="440"/>
              <w:spacing w:after="0"/>
              <w:rPr>
                <w:sz w:val="20"/>
                <w:szCs w:val="20"/>
                <w:color w:val="auto"/>
              </w:rPr>
            </w:pPr>
            <w:r>
              <w:rPr>
                <w:rFonts w:ascii="Arial" w:cs="Arial" w:eastAsia="Arial" w:hAnsi="Arial"/>
                <w:sz w:val="13"/>
                <w:szCs w:val="13"/>
                <w:b w:val="1"/>
                <w:bCs w:val="1"/>
                <w:color w:val="auto"/>
              </w:rPr>
              <w:t>March 31, 2021December 31, 2020</w:t>
            </w:r>
          </w:p>
        </w:tc>
      </w:tr>
      <w:tr>
        <w:trPr>
          <w:trHeight w:val="171"/>
        </w:trPr>
        <w:tc>
          <w:tcPr>
            <w:tcW w:w="20" w:type="dxa"/>
            <w:vAlign w:val="bottom"/>
          </w:tcPr>
          <w:p>
            <w:pPr>
              <w:spacing w:after="0"/>
              <w:rPr>
                <w:sz w:val="14"/>
                <w:szCs w:val="14"/>
                <w:color w:val="auto"/>
              </w:rPr>
            </w:pPr>
          </w:p>
        </w:tc>
        <w:tc>
          <w:tcPr>
            <w:tcW w:w="4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Net loss used in calculating pro forma net loss per share, basic and</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Arial" w:cs="Arial" w:eastAsia="Arial" w:hAnsi="Arial"/>
                <w:sz w:val="14"/>
                <w:szCs w:val="14"/>
                <w:color w:val="auto"/>
              </w:rPr>
              <w:t>diluted</w:t>
            </w:r>
          </w:p>
        </w:tc>
        <w:tc>
          <w:tcPr>
            <w:tcW w:w="6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(18,348)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(53,575)</w:t>
            </w:r>
          </w:p>
        </w:tc>
      </w:tr>
      <w:tr>
        <w:trPr>
          <w:trHeight w:val="33"/>
        </w:trPr>
        <w:tc>
          <w:tcPr>
            <w:tcW w:w="46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7,677,196</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Weighted-average convertible preferred stock</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34,126,528</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34,126,528</w:t>
            </w:r>
          </w:p>
        </w:tc>
        <w:tc>
          <w:tcPr>
            <w:tcW w:w="40" w:type="dxa"/>
            <w:vAlign w:val="bottom"/>
          </w:tcPr>
          <w:p>
            <w:pPr>
              <w:spacing w:after="0"/>
              <w:rPr>
                <w:sz w:val="15"/>
                <w:szCs w:val="15"/>
                <w:color w:val="auto"/>
              </w:rPr>
            </w:pPr>
          </w:p>
        </w:tc>
      </w:tr>
      <w:tr>
        <w:trPr>
          <w:trHeight w:val="181"/>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weighted-average shares outstanding, basic and diluted</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41,803,724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41,608,389</w:t>
            </w:r>
          </w:p>
        </w:tc>
        <w:tc>
          <w:tcPr>
            <w:tcW w:w="40" w:type="dxa"/>
            <w:vAlign w:val="bottom"/>
          </w:tcPr>
          <w:p>
            <w:pPr>
              <w:spacing w:after="0"/>
              <w:rPr>
                <w:sz w:val="15"/>
                <w:szCs w:val="15"/>
                <w:color w:val="auto"/>
              </w:rPr>
            </w:pPr>
          </w:p>
        </w:tc>
      </w:tr>
      <w:tr>
        <w:trPr>
          <w:trHeight w:val="22"/>
        </w:trPr>
        <w:tc>
          <w:tcPr>
            <w:tcW w:w="4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 basic and diluted</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Liquidity, capital resources, and capital requirements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3"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$340 million in net proceeds from the sales of our equity securities. As of March 31, 2021, we had cash, and cash equivalents of $79.5 million and marketable securities of $166.6 million. Based on our research and development plans, we believe that the net proceeds from this offering, together with our existing cash, cash equivalents and marketable securities, will be sufficient to fund our operating expenses and capital expenditures requirements for the next 42 months after this filing. Since our inception, we have not generated any revenue from product sales or any other sources, and we have incurred significant operating losses. We have not yet commercialized any products and we do not expect to generate revenue from sales of any product candidates for a number</w:t>
      </w:r>
    </w:p>
    <w:p>
      <w:pPr>
        <w:spacing w:after="0" w:line="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of years, if ever. We had an accumulated deficit of $310.7 million as of March 31, 2021. As further described in Note 3 of our 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17 of our audited consolidated financial statements, in February 2021, we sold 24,721,999 shares of our Series C preferred stock to certain institutional investors for gross proceeds of approximately $160 million.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 cash equivalents, will be sufficient for us to fund our operating expenses and capital expenditure requirements for the next 42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6" w:lineRule="exact"/>
        <w:rPr>
          <w:sz w:val="20"/>
          <w:szCs w:val="20"/>
          <w:color w:val="auto"/>
        </w:rPr>
      </w:pPr>
    </w:p>
    <w:p>
      <w:pPr>
        <w:ind w:left="1360" w:right="1759" w:hanging="111"/>
        <w:spacing w:after="0" w:line="286" w:lineRule="auto"/>
        <w:tabs>
          <w:tab w:leader="none" w:pos="13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scope, timing, progress, costs, and results of discovery, preclinical development, and clinical trials for our current and future product candidates;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1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and future product candidates;</w:t>
      </w:r>
    </w:p>
    <w:p>
      <w:pPr>
        <w:spacing w:after="0" w:line="76"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any of our current and future product candidates;</w:t>
      </w:r>
    </w:p>
    <w:p>
      <w:pPr>
        <w:spacing w:after="0" w:line="87"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our current and future product candidates;</w:t>
      </w:r>
    </w:p>
    <w:p>
      <w:pPr>
        <w:spacing w:after="0" w:line="7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262" w:lineRule="exact"/>
        <w:rPr>
          <w:rFonts w:ascii="Arial" w:cs="Arial" w:eastAsia="Arial" w:hAnsi="Arial"/>
          <w:sz w:val="14"/>
          <w:szCs w:val="14"/>
          <w:color w:val="auto"/>
        </w:rPr>
      </w:pPr>
    </w:p>
    <w:p>
      <w:pPr>
        <w:ind w:left="1360" w:right="1439" w:hanging="111"/>
        <w:spacing w:after="0" w:line="27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4"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3"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expenses to attract, hire and retain, skilled personnel;</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7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addressing any potential interruptions or delays resulting from factors related to the COVID-19 pandemic;</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w:t>
      </w:r>
    </w:p>
    <w:p>
      <w:pPr>
        <w:spacing w:after="0" w:line="128"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flows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3"/>
                <w:szCs w:val="13"/>
                <w:b w:val="1"/>
                <w:bCs w:val="1"/>
                <w:color w:val="auto"/>
              </w:rPr>
              <w:t>Successor</w:t>
            </w: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9"/>
              </w:rPr>
              <w:t>Predecessor</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Successor</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w w:val="99"/>
              </w:rPr>
              <w:t>June 21,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w w:val="99"/>
              </w:rPr>
              <w:t>Three months</w:t>
            </w: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rPr>
              <w:t>2019 to</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2440" w:type="dxa"/>
            <w:vAlign w:val="bottom"/>
            <w:gridSpan w:val="5"/>
          </w:tcPr>
          <w:p>
            <w:pPr>
              <w:jc w:val="right"/>
              <w:ind w:right="32"/>
              <w:spacing w:after="0"/>
              <w:rPr>
                <w:sz w:val="20"/>
                <w:szCs w:val="20"/>
                <w:color w:val="auto"/>
              </w:rPr>
            </w:pPr>
            <w:r>
              <w:rPr>
                <w:rFonts w:ascii="Arial" w:cs="Arial" w:eastAsia="Arial" w:hAnsi="Arial"/>
                <w:sz w:val="13"/>
                <w:szCs w:val="13"/>
                <w:b w:val="1"/>
                <w:bCs w:val="1"/>
                <w:color w:val="auto"/>
              </w:rPr>
              <w:t>ended December 31, December 31,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r>
      <w:tr>
        <w:trPr>
          <w:trHeight w:val="178"/>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rPr>
              <w:t>March 31, 2021 March 31, 2020</w:t>
            </w:r>
          </w:p>
        </w:tc>
        <w:tc>
          <w:tcPr>
            <w:tcW w:w="280" w:type="dxa"/>
            <w:vAlign w:val="bottom"/>
          </w:tcPr>
          <w:p>
            <w:pPr>
              <w:spacing w:after="0"/>
              <w:rPr>
                <w:sz w:val="15"/>
                <w:szCs w:val="15"/>
                <w:color w:val="auto"/>
              </w:rPr>
            </w:pPr>
          </w:p>
        </w:tc>
        <w:tc>
          <w:tcPr>
            <w:tcW w:w="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2019 June 20, 2019</w:t>
            </w:r>
          </w:p>
        </w:tc>
      </w:tr>
      <w:tr>
        <w:trPr>
          <w:trHeight w:val="171"/>
        </w:trPr>
        <w:tc>
          <w:tcPr>
            <w:tcW w:w="20" w:type="dxa"/>
            <w:vAlign w:val="bottom"/>
          </w:tcPr>
          <w:p>
            <w:pPr>
              <w:spacing w:after="0"/>
              <w:rPr>
                <w:sz w:val="14"/>
                <w:szCs w:val="14"/>
                <w:color w:val="auto"/>
              </w:rPr>
            </w:pPr>
          </w:p>
        </w:tc>
        <w:tc>
          <w:tcPr>
            <w:tcW w:w="2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w:t>
            </w: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10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(22,179)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(6,884)</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(41,269)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(4,400)</w:t>
            </w:r>
          </w:p>
        </w:tc>
      </w:tr>
      <w:tr>
        <w:trPr>
          <w:trHeight w:val="22"/>
        </w:trPr>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(119,034)</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tcPr>
          <w:p>
            <w:pPr>
              <w:spacing w:after="0"/>
              <w:rPr>
                <w:sz w:val="15"/>
                <w:szCs w:val="15"/>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(193,485)</w:t>
            </w:r>
          </w:p>
        </w:tc>
        <w:tc>
          <w:tcPr>
            <w:tcW w:w="40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47,690</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74,839</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7"/>
        </w:trPr>
        <w:tc>
          <w:tcPr>
            <w:tcW w:w="20" w:type="dxa"/>
            <w:vAlign w:val="bottom"/>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(decrease) increase in</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52,272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(5,227)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-373380</wp:posOffset>
            </wp:positionV>
            <wp:extent cx="132588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5880"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Operating activities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$22.2 million, and $6.9 million for the three months ended March 31, 2021 and 2020, respectively. Net cash used in operating activities during the three months ended March 31, 2021 consisted primarily of our net loss of $18.3 million and net cash outflows from decreases in our accounts payable and accrued expenses and other liabilities of $5.2 million partially offset by increase in operating lease liability of $0.1 million, and non-cash charges of $1.1 million. The non-cash charges of $1.1 million consisted primarily of $0.7 million for depreciation expense, and non-cash operating lease expense of $0.2 million.</w:t>
      </w:r>
    </w:p>
    <w:p>
      <w:pPr>
        <w:spacing w:after="0" w:line="110"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Net cash used in operating activities for the three months ended March 31, 2020 consisted primarily of our net loss of $9.7 million partially offset by net cash inflows from changes in operating assets and liabilities of $2.3 million and non-cash charges of $0.5 million. The non-cash charges of $0.5 million consisted primarily of $0.2 million for depreciation expense, non-cash stock-based compensation expense of $0.2 million, and non-cash operating lease expense of $0.1 million.</w:t>
      </w:r>
    </w:p>
    <w:p>
      <w:pPr>
        <w:spacing w:after="0" w:line="27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26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$0.4 million.</w:t>
      </w:r>
    </w:p>
    <w:p>
      <w:pPr>
        <w:spacing w:after="0" w:line="27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Investing activities</w:t>
      </w:r>
    </w:p>
    <w:p>
      <w:pPr>
        <w:spacing w:after="0" w:line="131"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Cash used in investing activities was $119.0 million, and $4.2 million for the three months ended March 31, 2021 and 2020, respectively. Cash used in investing activities for the three months ended March 31, 2021</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consisted primarily of net purchases of fixed maturity securities of $117.2 million, and purchases of property and equipment of $1.9 million.</w:t>
      </w:r>
    </w:p>
    <w:p>
      <w:pPr>
        <w:spacing w:after="0" w:line="88"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Cash used in investing activities for the three months ended March 31, 2020 consisted primarily of net purchases of fixed maturity securities of $1.5 million, and purchases of property and equipment of $2.7 million.</w:t>
      </w:r>
    </w:p>
    <w:p>
      <w:pPr>
        <w:spacing w:after="0" w:line="10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07"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Financing activities</w:t>
      </w:r>
    </w:p>
    <w:p>
      <w:pPr>
        <w:spacing w:after="0" w:line="12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Cash provided by financing activities was $193.5 million for the three months ended March 31, 2021 . There was no financing activities for the three months ended March 31, 2020. Cash provided by financing activities for the three months ended March 31, 2021 consisted primarily of net proceeds from collection of subscription receivable of $31.9 million and from sale of our Series C preferred shares of $159.6 million, payments of deferred offering costs associated with incremental legal, professional and other third-party fees directly associated with the planned IPO of $0.6 million, and cash resulting from the merger of $2.4 million.</w:t>
      </w:r>
    </w:p>
    <w:p>
      <w:pPr>
        <w:spacing w:after="0" w:line="110"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collection of subscription receivable of $38.1 million. Additionally, on September 14, 2020, the Company entered into a $10 million Loan Agreement with Hercules, pursuant to which net proceeds of $9.6 million were received by us.</w:t>
      </w:r>
    </w:p>
    <w:p>
      <w:pPr>
        <w:spacing w:after="0" w:line="109" w:lineRule="exact"/>
        <w:rPr>
          <w:sz w:val="20"/>
          <w:szCs w:val="20"/>
          <w:color w:val="auto"/>
        </w:rPr>
      </w:pPr>
    </w:p>
    <w:p>
      <w:pPr>
        <w:jc w:val="both"/>
        <w:ind w:left="1240" w:right="1279"/>
        <w:spacing w:after="0" w:line="270" w:lineRule="auto"/>
        <w:rPr>
          <w:sz w:val="20"/>
          <w:szCs w:val="20"/>
          <w:color w:val="auto"/>
        </w:rPr>
      </w:pPr>
      <w:r>
        <w:rPr>
          <w:rFonts w:ascii="Arial" w:cs="Arial" w:eastAsia="Arial" w:hAnsi="Arial"/>
          <w:sz w:val="14"/>
          <w:szCs w:val="14"/>
          <w:color w:val="auto"/>
        </w:rPr>
        <w:t>Cash provided by financing activities during the period from June 21, 2019 through December 31, 2019 (Successor) consisted of net proceeds of $74.8 million from the sale of our common shares.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1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significant contractual obligations and commitments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0" w:type="dxa"/>
            <w:vAlign w:val="bottom"/>
          </w:tcPr>
          <w:p>
            <w:pPr>
              <w:spacing w:after="0"/>
              <w:rPr>
                <w:sz w:val="1"/>
                <w:szCs w:val="1"/>
                <w:color w:val="auto"/>
              </w:rPr>
            </w:pPr>
          </w:p>
        </w:tc>
      </w:tr>
      <w:tr>
        <w:trPr>
          <w:trHeight w:val="185"/>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jc w:val="right"/>
              <w:ind w:right="10"/>
              <w:spacing w:after="0"/>
              <w:rPr>
                <w:sz w:val="20"/>
                <w:szCs w:val="20"/>
                <w:color w:val="auto"/>
              </w:rPr>
            </w:pPr>
            <w:r>
              <w:rPr>
                <w:rFonts w:ascii="Arial" w:cs="Arial" w:eastAsia="Arial" w:hAnsi="Arial"/>
                <w:sz w:val="13"/>
                <w:szCs w:val="13"/>
                <w:b w:val="1"/>
                <w:bCs w:val="1"/>
                <w:color w:val="auto"/>
              </w:rPr>
              <w:t>1 year</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 to 3 years</w:t>
            </w:r>
          </w:p>
        </w:tc>
        <w:tc>
          <w:tcPr>
            <w:tcW w:w="900" w:type="dxa"/>
            <w:vAlign w:val="bottom"/>
          </w:tcPr>
          <w:p>
            <w:pPr>
              <w:jc w:val="right"/>
              <w:ind w:right="10"/>
              <w:spacing w:after="0"/>
              <w:rPr>
                <w:sz w:val="20"/>
                <w:szCs w:val="20"/>
                <w:color w:val="auto"/>
              </w:rPr>
            </w:pPr>
            <w:r>
              <w:rPr>
                <w:rFonts w:ascii="Arial" w:cs="Arial" w:eastAsia="Arial" w:hAnsi="Arial"/>
                <w:sz w:val="13"/>
                <w:szCs w:val="13"/>
                <w:b w:val="1"/>
                <w:bCs w:val="1"/>
                <w:color w:val="auto"/>
              </w:rPr>
              <w:t>3 to 5 years</w:t>
            </w:r>
          </w:p>
        </w:tc>
        <w:tc>
          <w:tcPr>
            <w:tcW w:w="1280" w:type="dxa"/>
            <w:vAlign w:val="bottom"/>
          </w:tcPr>
          <w:p>
            <w:pPr>
              <w:jc w:val="right"/>
              <w:ind w:right="11"/>
              <w:spacing w:after="0"/>
              <w:rPr>
                <w:sz w:val="20"/>
                <w:szCs w:val="20"/>
                <w:color w:val="auto"/>
              </w:rPr>
            </w:pPr>
            <w:r>
              <w:rPr>
                <w:rFonts w:ascii="Arial" w:cs="Arial" w:eastAsia="Arial" w:hAnsi="Arial"/>
                <w:sz w:val="13"/>
                <w:szCs w:val="13"/>
                <w:b w:val="1"/>
                <w:bCs w:val="1"/>
                <w:color w:val="auto"/>
              </w:rPr>
              <w:t>More than 5 years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$ 3,347</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$ 3,629</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$ 13,207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7,642</w:t>
            </w:r>
          </w:p>
        </w:tc>
        <w:tc>
          <w:tcPr>
            <w:tcW w:w="900" w:type="dxa"/>
            <w:vAlign w:val="bottom"/>
          </w:tcPr>
          <w:p>
            <w:pPr>
              <w:jc w:val="right"/>
              <w:spacing w:after="0"/>
              <w:rPr>
                <w:sz w:val="20"/>
                <w:szCs w:val="20"/>
                <w:color w:val="auto"/>
              </w:rPr>
            </w:pPr>
            <w:r>
              <w:rPr>
                <w:rFonts w:ascii="Arial" w:cs="Arial" w:eastAsia="Arial" w:hAnsi="Arial"/>
                <w:sz w:val="14"/>
                <w:szCs w:val="14"/>
                <w:color w:val="auto"/>
              </w:rPr>
              <w:t>2,753</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2280" w:type="dxa"/>
            <w:vAlign w:val="bottom"/>
            <w:tcBorders>
              <w:bottom w:val="single" w:sz="8" w:color="auto"/>
            </w:tcBorders>
            <w:shd w:val="clear" w:color="auto" w:fill="CCEEFF"/>
          </w:tcPr>
          <w:p>
            <w:pPr>
              <w:spacing w:after="0" w:line="225" w:lineRule="exact"/>
              <w:rPr>
                <w:sz w:val="20"/>
                <w:szCs w:val="20"/>
                <w:color w:val="auto"/>
              </w:rPr>
            </w:pPr>
            <w:r>
              <w:rPr>
                <w:rFonts w:ascii="Arial" w:cs="Arial" w:eastAsia="Arial" w:hAnsi="Arial"/>
                <w:sz w:val="14"/>
                <w:szCs w:val="14"/>
                <w:color w:val="auto"/>
              </w:rPr>
              <w:t>Interest on long-term debt</w:t>
            </w:r>
            <w:r>
              <w:rPr>
                <w:rFonts w:ascii="Arial" w:cs="Arial" w:eastAsia="Arial" w:hAnsi="Arial"/>
                <w:sz w:val="21"/>
                <w:szCs w:val="21"/>
                <w:color w:val="auto"/>
                <w:vertAlign w:val="superscript"/>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-12700</wp:posOffset>
            </wp:positionV>
            <wp:extent cx="3429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2" w:lineRule="exact"/>
        <w:rPr>
          <w:sz w:val="20"/>
          <w:szCs w:val="20"/>
          <w:color w:val="auto"/>
        </w:rPr>
      </w:pPr>
    </w:p>
    <w:p>
      <w:pPr>
        <w:ind w:left="1500" w:right="1399" w:hanging="251"/>
        <w:spacing w:after="0" w:line="248" w:lineRule="auto"/>
        <w:tabs>
          <w:tab w:leader="none" w:pos="15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Reflects minimum interest payable under the Loan Agreement. Payment herein are subject to variable rate debt have been estimated.</w:t>
      </w:r>
    </w:p>
    <w:p>
      <w:pPr>
        <w:spacing w:after="0" w:line="113" w:lineRule="exact"/>
        <w:rPr>
          <w:sz w:val="20"/>
          <w:szCs w:val="20"/>
          <w:color w:val="auto"/>
        </w:rPr>
      </w:pPr>
    </w:p>
    <w:p>
      <w:pPr>
        <w:ind w:left="1240" w:right="1459"/>
        <w:spacing w:after="0" w:line="259" w:lineRule="auto"/>
        <w:rPr>
          <w:sz w:val="20"/>
          <w:szCs w:val="20"/>
          <w:color w:val="auto"/>
        </w:rPr>
      </w:pPr>
      <w:r>
        <w:rPr>
          <w:rFonts w:ascii="Arial" w:cs="Arial" w:eastAsia="Arial" w:hAnsi="Arial"/>
          <w:sz w:val="14"/>
          <w:szCs w:val="14"/>
          <w:color w:val="auto"/>
        </w:rPr>
        <w:t>Other than as disclosed in the table above, the payment obligations under our license, collaboration, and acquisition agreements as of December 31, 2020 are contingent upon future events such as our achievement of pre-specified development, regulatory, and commercial milestones, or royalties on net product sales. See the section titled “Business—Licensing, Partnerships and Collaborations” for more information about these payment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obligations. As of December 31, 2020, the timing and likelihood of achieving the milestones and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success payments and generating future product sales are uncertain and therefore, any related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payments are not included in the table above. The Company has commitments under operating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leases for certain facilities used in its operations. The Company’s leases have initial lease terms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ranging from five to 16 years. The Company entered into three leases that had not commenced at</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As a result, future lease payments of approximately $0.5 million in 1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$4.8 million in 1 to 3 years, $5.0 million in 3 to 5 years and $16.3 million in more than 5 years are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not included within the table above.</w:t>
      </w:r>
    </w:p>
    <w:p>
      <w:pPr>
        <w:spacing w:after="0" w:line="128" w:lineRule="exact"/>
        <w:rPr>
          <w:sz w:val="20"/>
          <w:szCs w:val="20"/>
          <w:color w:val="auto"/>
        </w:rPr>
      </w:pPr>
    </w:p>
    <w:p>
      <w:pPr>
        <w:ind w:left="1240" w:right="1759"/>
        <w:spacing w:after="0" w:line="275" w:lineRule="auto"/>
        <w:rPr>
          <w:sz w:val="20"/>
          <w:szCs w:val="20"/>
          <w:color w:val="auto"/>
        </w:rPr>
      </w:pPr>
      <w:r>
        <w:rPr>
          <w:rFonts w:ascii="Arial" w:cs="Arial" w:eastAsia="Arial" w:hAnsi="Arial"/>
          <w:sz w:val="14"/>
          <w:szCs w:val="14"/>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0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Off-balance sheet arrangements</w:t>
      </w:r>
    </w:p>
    <w:p>
      <w:pPr>
        <w:spacing w:after="0" w:line="140"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Since our inception, we have not engaged in any off-balance sheet arrangements as defined under the rules and regulations of the SEC.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9" w:lineRule="exact"/>
        <w:rPr>
          <w:sz w:val="20"/>
          <w:szCs w:val="20"/>
          <w:color w:val="auto"/>
        </w:rPr>
      </w:pPr>
    </w:p>
    <w:p>
      <w:pPr>
        <w:ind w:left="1240" w:right="1359"/>
        <w:spacing w:after="0" w:line="281"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had cash, cash equivalents, and restricted cash of $80.0 million as of March 31, 2021, which consisted of bank deposits and money market funds. We also had marketable securities of $166.6 million as of March 31, 2021.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JOBS act accounting election</w:t>
      </w:r>
    </w:p>
    <w:p>
      <w:pPr>
        <w:spacing w:after="0" w:line="14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75" w:lineRule="exact"/>
        <w:rPr>
          <w:sz w:val="20"/>
          <w:szCs w:val="20"/>
          <w:color w:val="auto"/>
        </w:rPr>
      </w:pPr>
    </w:p>
    <w:p>
      <w:pPr>
        <w:ind w:left="1360" w:right="1339" w:hanging="111"/>
        <w:spacing w:after="0" w:line="278"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979" w:hanging="111"/>
        <w:spacing w:after="0" w:line="286"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60" w:right="1519" w:hanging="111"/>
        <w:spacing w:after="0" w:line="278"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17"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8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9"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9"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88"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Acquisitions</w:t>
      </w:r>
    </w:p>
    <w:p>
      <w:pPr>
        <w:spacing w:after="0" w:line="144"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9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and subsequent milestone payments are recorded in research and development expense.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09" w:lineRule="exact"/>
        <w:rPr>
          <w:sz w:val="20"/>
          <w:szCs w:val="20"/>
          <w:color w:val="auto"/>
        </w:rPr>
      </w:pPr>
    </w:p>
    <w:p>
      <w:pPr>
        <w:ind w:left="1240" w:right="1639"/>
        <w:spacing w:after="0" w:line="286" w:lineRule="auto"/>
        <w:rPr>
          <w:sz w:val="20"/>
          <w:szCs w:val="20"/>
          <w:color w:val="auto"/>
        </w:rPr>
      </w:pPr>
      <w:r>
        <w:rPr>
          <w:rFonts w:ascii="Arial" w:cs="Arial" w:eastAsia="Arial" w:hAnsi="Arial"/>
          <w:sz w:val="14"/>
          <w:szCs w:val="14"/>
          <w:color w:val="auto"/>
        </w:rPr>
        <w:t>The Black-Scholes option pricing model requires the use of highly subjective assumptions to determine the fair value of stock-based awards. These assumptions include:</w:t>
      </w:r>
    </w:p>
    <w:p>
      <w:pPr>
        <w:spacing w:after="0" w:line="66" w:lineRule="exact"/>
        <w:rPr>
          <w:sz w:val="20"/>
          <w:szCs w:val="20"/>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Fair Value of Common Stock—See the subsection titled “—Common Stock Valuations.”</w:t>
      </w:r>
    </w:p>
    <w:p>
      <w:pPr>
        <w:spacing w:after="0" w:line="106" w:lineRule="exact"/>
        <w:rPr>
          <w:rFonts w:ascii="Arial" w:cs="Arial" w:eastAsia="Arial" w:hAnsi="Arial"/>
          <w:sz w:val="14"/>
          <w:szCs w:val="14"/>
          <w:color w:val="auto"/>
        </w:rPr>
      </w:pPr>
    </w:p>
    <w:p>
      <w:pPr>
        <w:jc w:val="both"/>
        <w:ind w:left="1360" w:right="1619" w:hanging="111"/>
        <w:spacing w:after="0" w:line="278"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72" w:lineRule="exact"/>
        <w:rPr>
          <w:rFonts w:ascii="Arial" w:cs="Arial" w:eastAsia="Arial" w:hAnsi="Arial"/>
          <w:sz w:val="14"/>
          <w:szCs w:val="14"/>
          <w:color w:val="auto"/>
        </w:rPr>
      </w:pPr>
    </w:p>
    <w:p>
      <w:pPr>
        <w:ind w:left="1360" w:right="1319" w:hanging="111"/>
        <w:spacing w:after="0" w:line="275"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Expected Volatility—Since we are not yet a public company and do not have any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specialty. We will continue to apply this process until sufficient historical information regarding the volatility of our own stock price becomes available.</w:t>
      </w:r>
    </w:p>
    <w:p>
      <w:pPr>
        <w:spacing w:after="0" w:line="77" w:lineRule="exact"/>
        <w:rPr>
          <w:sz w:val="20"/>
          <w:szCs w:val="20"/>
          <w:color w:val="auto"/>
        </w:rPr>
      </w:pPr>
    </w:p>
    <w:p>
      <w:pPr>
        <w:ind w:left="1360" w:right="1299" w:hanging="111"/>
        <w:spacing w:after="0" w:line="278"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47" w:lineRule="exact"/>
        <w:rPr>
          <w:rFonts w:ascii="Arial" w:cs="Arial" w:eastAsia="Arial" w:hAnsi="Arial"/>
          <w:sz w:val="14"/>
          <w:szCs w:val="14"/>
          <w:color w:val="auto"/>
        </w:rPr>
      </w:pPr>
    </w:p>
    <w:p>
      <w:pPr>
        <w:ind w:left="1360" w:right="1299" w:hanging="111"/>
        <w:spacing w:after="0" w:line="307"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We have never paid dividends on our common stock and have no plans to</w:t>
      </w:r>
      <w:r>
        <w:rPr>
          <w:rFonts w:ascii="Arial" w:cs="Arial" w:eastAsia="Arial" w:hAnsi="Arial"/>
          <w:sz w:val="14"/>
          <w:szCs w:val="14"/>
          <w:i w:val="1"/>
          <w:iCs w:val="1"/>
          <w:color w:val="auto"/>
        </w:rPr>
        <w:t xml:space="preserve"> </w:t>
      </w:r>
      <w:r>
        <w:rPr>
          <w:rFonts w:ascii="Arial" w:cs="Arial" w:eastAsia="Arial" w:hAnsi="Arial"/>
          <w:sz w:val="14"/>
          <w:szCs w:val="14"/>
          <w:color w:val="auto"/>
        </w:rPr>
        <w:t>pay dividends on our common stock. Therefore, we used an expected dividend yield of zero.</w:t>
      </w:r>
    </w:p>
    <w:p>
      <w:pPr>
        <w:spacing w:after="0" w:line="7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0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266"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277"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The intrinsic value of all outstanding options as of March 31, 2021 was approximately $58.7 million, based on the assumed initial public offering price of $19.00 per share, which is the midpoint of the estimated initial public offering price range set forth on the cover page of this prospectus, of which approximately $33.9 million is related to vested options and approximately $24.8 million is related to unvested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4"/>
          <w:szCs w:val="14"/>
          <w:i w:val="1"/>
          <w:iCs w:val="1"/>
          <w:color w:val="auto"/>
        </w:rPr>
        <w:t>Valuation of Privately-Held Company Equity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as Compensation </w:t>
      </w:r>
      <w:r>
        <w:rPr>
          <w:rFonts w:ascii="Arial" w:cs="Arial" w:eastAsia="Arial" w:hAnsi="Arial"/>
          <w:sz w:val="14"/>
          <w:szCs w:val="14"/>
          <w:color w:val="auto"/>
        </w:rPr>
        <w:t>(Practice Aid). Within the contemporaneous valuations performed by our</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a range of factors, assumptions, and methodologies were used. The significant objective and subjective factors included, but are not limited to:</w:t>
      </w:r>
    </w:p>
    <w:p>
      <w:pPr>
        <w:spacing w:after="0" w:line="259" w:lineRule="exact"/>
        <w:rPr>
          <w:sz w:val="20"/>
          <w:szCs w:val="20"/>
          <w:color w:val="auto"/>
        </w:rPr>
      </w:pPr>
    </w:p>
    <w:p>
      <w:pPr>
        <w:ind w:left="1360" w:right="1319" w:hanging="111"/>
        <w:spacing w:after="0" w:line="286"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most recently available valuations of our common stock performed by an independent third-party valuation firm;</w:t>
      </w:r>
    </w:p>
    <w:p>
      <w:pPr>
        <w:spacing w:after="0" w:line="55"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prices of shares of our convertible preferred stock sold to investors in arm’s length transactions, and the rights, preferences and privileges of our convertible preferred stock relative to our common stock;</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committed future rounds of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06" w:lineRule="exact"/>
        <w:rPr>
          <w:rFonts w:ascii="Arial" w:cs="Arial" w:eastAsia="Arial" w:hAnsi="Arial"/>
          <w:sz w:val="14"/>
          <w:szCs w:val="14"/>
          <w:color w:val="auto"/>
        </w:rPr>
      </w:pPr>
    </w:p>
    <w:p>
      <w:pPr>
        <w:ind w:left="1360" w:right="1919" w:hanging="111"/>
        <w:spacing w:after="0" w:line="286"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76" w:lineRule="exact"/>
        <w:rPr>
          <w:rFonts w:ascii="Arial" w:cs="Arial" w:eastAsia="Arial" w:hAnsi="Arial"/>
          <w:sz w:val="14"/>
          <w:szCs w:val="14"/>
          <w:color w:val="auto"/>
        </w:rPr>
      </w:pPr>
    </w:p>
    <w:p>
      <w:pPr>
        <w:ind w:left="1360" w:right="1819" w:hanging="111"/>
        <w:spacing w:after="0" w:line="28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status of strategic transactions, including the acquisition and licensing of intellectual property and technology;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trends and developments in our industry;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w:t>
      </w:r>
    </w:p>
    <w:p>
      <w:pPr>
        <w:spacing w:after="0" w:line="128"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29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For our valuations performed after December 31, 2020 we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determining the estimated fair value of common stock, our board of directors considered the subjective factors discussed above in conjunction with the most recent valuations of our common stock that were prepared by an independent third-party. Our board of directors, relying in part on these third-party valuations, determined valuations of our common stock of $0.03, $1.03, $1.73 and $7.27 per share as of November 30, 2018, May 31, 2019, September 30, 2020 and February 25, 2021, respectively, and such valuations by the board of directors were used for the purposes of determining the share-based compensation expense.</w:t>
      </w:r>
    </w:p>
    <w:p>
      <w:pPr>
        <w:spacing w:after="0" w:line="11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Following the closing of this offering, the fair market value of our common stock will be the closing price of our common stock on the date of grant on the primary stock exchange on which our common stock is traded.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Recently adopted and recent accounting pronouncements</w:t>
      </w:r>
    </w:p>
    <w:p>
      <w:pPr>
        <w:spacing w:after="0" w:line="129"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Business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18" w:lineRule="exact"/>
        <w:rPr>
          <w:sz w:val="20"/>
          <w:szCs w:val="20"/>
          <w:color w:val="auto"/>
        </w:rPr>
      </w:pPr>
    </w:p>
    <w:p>
      <w:pPr>
        <w:ind w:left="1240" w:right="127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key elements of our approach include: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efficient precision gene editing technology:</w:t>
      </w:r>
    </w:p>
    <w:p>
      <w:pPr>
        <w:spacing w:after="0" w:line="12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28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299"/>
        <w:spacing w:after="0" w:line="237" w:lineRule="auto"/>
        <w:rPr>
          <w:sz w:val="20"/>
          <w:szCs w:val="20"/>
          <w:color w:val="auto"/>
        </w:rPr>
      </w:pPr>
      <w:r>
        <w:rPr>
          <w:rFonts w:ascii="Arial" w:cs="Arial" w:eastAsia="Arial" w:hAnsi="Arial"/>
          <w:sz w:val="14"/>
          <w:szCs w:val="14"/>
          <w:color w:val="auto"/>
        </w:rPr>
        <w:t>We are leveraging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design cells capable of evading identification and destruction by the host immune system. We believe this technology may permit dosing in patients with limited or no</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CAR and protein engineering:</w:t>
      </w:r>
    </w:p>
    <w:p>
      <w:pPr>
        <w:spacing w:after="0" w:line="12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CAR design is a critical component of innovative cell therapy 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engineered iPSC progenitor accelerates new product candidate generation:</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acceleration of new product candidate generation.</w:t>
      </w:r>
    </w:p>
    <w:p>
      <w:pPr>
        <w:spacing w:after="0" w:line="13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Robust manufacturing processes for multiple product candidates.</w:t>
      </w:r>
    </w:p>
    <w:p>
      <w:pPr>
        <w:spacing w:after="0" w:line="12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Since the starting iPSC line is the same for multiple product candidates, our manufacturing processes are predictable and robust.</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Predictability of product candidate functionality, safety, and persistence.</w:t>
      </w:r>
    </w:p>
    <w:p>
      <w:pPr>
        <w:spacing w:after="0" w:line="131" w:lineRule="exact"/>
        <w:rPr>
          <w:sz w:val="20"/>
          <w:szCs w:val="20"/>
          <w:color w:val="auto"/>
        </w:rPr>
      </w:pPr>
    </w:p>
    <w:p>
      <w:pPr>
        <w:ind w:left="1240" w:right="1579"/>
        <w:spacing w:after="0" w:line="260" w:lineRule="auto"/>
        <w:rPr>
          <w:sz w:val="20"/>
          <w:szCs w:val="20"/>
          <w:color w:val="auto"/>
        </w:rPr>
      </w:pPr>
      <w:r>
        <w:rPr>
          <w:rFonts w:ascii="Arial" w:cs="Arial" w:eastAsia="Arial" w:hAnsi="Arial"/>
          <w:sz w:val="14"/>
          <w:szCs w:val="14"/>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0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59"/>
        <w:spacing w:after="0" w:line="294" w:lineRule="auto"/>
        <w:rPr>
          <w:sz w:val="20"/>
          <w:szCs w:val="20"/>
          <w:color w:val="auto"/>
        </w:rPr>
      </w:pPr>
      <w:r>
        <w:rPr>
          <w:rFonts w:ascii="Arial" w:cs="Arial" w:eastAsia="Arial" w:hAnsi="Arial"/>
          <w:sz w:val="14"/>
          <w:szCs w:val="14"/>
          <w:color w:val="auto"/>
        </w:rPr>
        <w:t>of highly unmet medical need potentially presents an opportunity to efficiently advance our product candidates through clinical development, regulatory approval and ultimately to commercialization.</w:t>
      </w:r>
    </w:p>
    <w:p>
      <w:pPr>
        <w:spacing w:after="0" w:line="94" w:lineRule="exact"/>
        <w:rPr>
          <w:sz w:val="20"/>
          <w:szCs w:val="20"/>
          <w:color w:val="auto"/>
        </w:rPr>
      </w:pPr>
    </w:p>
    <w:p>
      <w:pPr>
        <w:ind w:left="1240" w:right="1359"/>
        <w:spacing w:after="0" w:line="290"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296"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99"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102235</wp:posOffset>
            </wp:positionV>
            <wp:extent cx="3719830" cy="1054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1983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00" w:right="1359" w:hanging="251"/>
        <w:spacing w:after="0" w:line="244" w:lineRule="auto"/>
        <w:tabs>
          <w:tab w:leader="none" w:pos="15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2059"/>
        <w:spacing w:after="0" w:line="262" w:lineRule="auto"/>
        <w:rPr>
          <w:sz w:val="20"/>
          <w:szCs w:val="20"/>
          <w:color w:val="auto"/>
        </w:rPr>
      </w:pPr>
      <w:r>
        <w:rPr>
          <w:rFonts w:ascii="Arial" w:cs="Arial" w:eastAsia="Arial" w:hAnsi="Arial"/>
          <w:sz w:val="14"/>
          <w:szCs w:val="14"/>
          <w:b w:val="1"/>
          <w:bCs w:val="1"/>
          <w:i w:val="1"/>
          <w:iCs w:val="1"/>
          <w:color w:val="auto"/>
        </w:rPr>
        <w:t>CNTY-101: Our CAR-iNK candidate targeting CD19 for relapsed, refractory B-cell lymphoma.</w:t>
      </w:r>
    </w:p>
    <w:p>
      <w:pPr>
        <w:spacing w:after="0" w:line="93" w:lineRule="exact"/>
        <w:rPr>
          <w:sz w:val="20"/>
          <w:szCs w:val="20"/>
          <w:color w:val="auto"/>
        </w:rPr>
      </w:pPr>
    </w:p>
    <w:p>
      <w:pPr>
        <w:ind w:left="1240" w:right="1319"/>
        <w:spacing w:after="0" w:line="238" w:lineRule="auto"/>
        <w:rPr>
          <w:sz w:val="20"/>
          <w:szCs w:val="20"/>
          <w:color w:val="auto"/>
        </w:rPr>
      </w:pPr>
      <w:r>
        <w:rPr>
          <w:rFonts w:ascii="Arial" w:cs="Arial" w:eastAsia="Arial" w:hAnsi="Arial"/>
          <w:sz w:val="14"/>
          <w:szCs w:val="14"/>
          <w:color w:val="auto"/>
        </w:rPr>
        <w:t>Our lead product candidate, CNTY-101, is an allogeneic, iPSC-derived CAR-iNK cell 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CNTY-103: Our CAR-iNK candidate targeting CD133 + EGFR for recurrent glioblastoma.</w:t>
      </w:r>
    </w:p>
    <w:p>
      <w:pPr>
        <w:spacing w:after="0" w:line="123"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134"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CAR-iT or CAR-iNK candidate targeting CD19 + CD79b for relapsed, refractory B-cell lymphoma and other B-cell malignancies.</w:t>
      </w:r>
    </w:p>
    <w:p>
      <w:pPr>
        <w:spacing w:after="0" w:line="9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CNTY-104: Our CAR-iNK or CAR-iT multi-specific candidate for acute myeloid leukemia.</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Our use of iPSCs provides us with a differentiated advantage in product development and manufacturing</w:t>
      </w:r>
    </w:p>
    <w:p>
      <w:pPr>
        <w:spacing w:after="0" w:line="9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94"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120650</wp:posOffset>
            </wp:positionV>
            <wp:extent cx="3930650" cy="1033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3065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iPSC-derived allogeneic cells differentiate our therapeutic development approach</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78"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alterations. A single cell clone is used to construct a master cell bank capable of providing a sufficient number of doses for the life of a product due to the unlimited replicative capacity of iPSCs.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use of iPSCs provide us with differentiated advantages in product development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116205</wp:posOffset>
            </wp:positionV>
            <wp:extent cx="3930650" cy="1516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30650"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strategy</w:t>
      </w:r>
    </w:p>
    <w:p>
      <w:pPr>
        <w:spacing w:after="0" w:line="11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1" w:lineRule="exact"/>
        <w:rPr>
          <w:sz w:val="20"/>
          <w:szCs w:val="20"/>
          <w:color w:val="auto"/>
        </w:rPr>
      </w:pPr>
    </w:p>
    <w:p>
      <w:pPr>
        <w:ind w:left="1620" w:right="1359" w:hanging="114"/>
        <w:spacing w:after="0" w:line="261"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4"/>
          <w:szCs w:val="14"/>
          <w:color w:val="auto"/>
        </w:rPr>
        <w:t>We have created comprehensive allogeneic cell therapy platforms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industry-leading iPSC differentiation know-how, CRISPR-mediated precision gene editing, sophisticated protein engineering capabilities,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71" w:lineRule="exact"/>
        <w:rPr>
          <w:rFonts w:ascii="Arial" w:cs="Arial" w:eastAsia="Arial" w:hAnsi="Arial"/>
          <w:sz w:val="14"/>
          <w:szCs w:val="14"/>
          <w:color w:val="auto"/>
        </w:rPr>
      </w:pPr>
    </w:p>
    <w:p>
      <w:pPr>
        <w:ind w:left="1620" w:right="1419" w:hanging="114"/>
        <w:spacing w:after="0" w:line="276"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Maximize the potential to treat a broad range of cancers by exploiting the distinct biologies of both NK and T cells. </w:t>
      </w:r>
      <w:r>
        <w:rPr>
          <w:rFonts w:ascii="Arial" w:cs="Arial" w:eastAsia="Arial" w:hAnsi="Arial"/>
          <w:sz w:val="14"/>
          <w:szCs w:val="14"/>
          <w:color w:val="auto"/>
        </w:rPr>
        <w:t>We are initially developing our CAR-iNK and CAR-iT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29" w:lineRule="exact"/>
        <w:rPr>
          <w:rFonts w:ascii="Arial" w:cs="Arial" w:eastAsia="Arial" w:hAnsi="Arial"/>
          <w:sz w:val="14"/>
          <w:szCs w:val="14"/>
          <w:color w:val="auto"/>
        </w:rPr>
      </w:pPr>
    </w:p>
    <w:p>
      <w:pPr>
        <w:ind w:left="1620" w:right="1339" w:hanging="114"/>
        <w:spacing w:after="0" w:line="252" w:lineRule="auto"/>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 across our product platform to avoid host rejection and enable repeat dosing. </w:t>
      </w:r>
      <w:r>
        <w:rPr>
          <w:rFonts w:ascii="Arial" w:cs="Arial" w:eastAsia="Arial" w:hAnsi="Arial"/>
          <w:sz w:val="14"/>
          <w:szCs w:val="14"/>
          <w:color w:val="auto"/>
        </w:rPr>
        <w:t>Central to the potential clinical performance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iPSC-derived cell therapies is our novel and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20" w:right="1299"/>
        <w:spacing w:after="0" w:line="260" w:lineRule="auto"/>
        <w:rPr>
          <w:sz w:val="20"/>
          <w:szCs w:val="20"/>
          <w:color w:val="auto"/>
        </w:rPr>
      </w:pPr>
      <w:r>
        <w:rPr>
          <w:rFonts w:ascii="Arial" w:cs="Arial" w:eastAsia="Arial" w:hAnsi="Arial"/>
          <w:sz w:val="14"/>
          <w:szCs w:val="14"/>
          <w:color w:val="auto"/>
        </w:rPr>
        <w:t>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57" w:lineRule="exact"/>
        <w:rPr>
          <w:sz w:val="20"/>
          <w:szCs w:val="20"/>
          <w:color w:val="auto"/>
        </w:rPr>
      </w:pPr>
    </w:p>
    <w:p>
      <w:pPr>
        <w:ind w:left="1620" w:right="1459" w:hanging="114"/>
        <w:spacing w:after="0" w:line="274" w:lineRule="auto"/>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4"/>
          <w:szCs w:val="14"/>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64" w:lineRule="exact"/>
        <w:rPr>
          <w:rFonts w:ascii="Arial" w:cs="Arial" w:eastAsia="Arial" w:hAnsi="Arial"/>
          <w:sz w:val="14"/>
          <w:szCs w:val="14"/>
          <w:color w:val="auto"/>
        </w:rPr>
      </w:pPr>
    </w:p>
    <w:p>
      <w:pPr>
        <w:ind w:left="1620" w:right="1279" w:hanging="114"/>
        <w:spacing w:after="0" w:line="276" w:lineRule="auto"/>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4"/>
          <w:szCs w:val="14"/>
          <w:color w:val="auto"/>
        </w:rPr>
        <w:t>We are strategically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Background</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The role of NK cells and T cells in the human immune system</w:t>
      </w:r>
    </w:p>
    <w:p>
      <w:pPr>
        <w:spacing w:after="0" w:line="133" w:lineRule="exact"/>
        <w:rPr>
          <w:sz w:val="20"/>
          <w:szCs w:val="20"/>
          <w:color w:val="auto"/>
        </w:rPr>
      </w:pPr>
    </w:p>
    <w:p>
      <w:pPr>
        <w:ind w:left="1240" w:right="1259"/>
        <w:spacing w:after="0" w:line="260" w:lineRule="auto"/>
        <w:rPr>
          <w:sz w:val="20"/>
          <w:szCs w:val="20"/>
          <w:color w:val="auto"/>
        </w:rPr>
      </w:pPr>
      <w:r>
        <w:rPr>
          <w:rFonts w:ascii="Arial" w:cs="Arial" w:eastAsia="Arial" w:hAnsi="Arial"/>
          <w:sz w:val="14"/>
          <w:szCs w:val="14"/>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Innate immune system—NK Cells</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Adaptive immune system—T Cells</w:t>
      </w:r>
    </w:p>
    <w:p>
      <w:pPr>
        <w:spacing w:after="0" w:line="13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same pathogen. We seek to take advantage of the unique properties of T cells and their proven anti-cancer activity to engineer iPSC-derived T cell products.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Cellular immunotherapy and its use in the treatment of cancer</w:t>
      </w:r>
    </w:p>
    <w:p>
      <w:pPr>
        <w:spacing w:after="0" w:line="118"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277" w:lineRule="exact"/>
        <w:rPr>
          <w:sz w:val="20"/>
          <w:szCs w:val="20"/>
          <w:color w:val="auto"/>
        </w:rPr>
      </w:pPr>
    </w:p>
    <w:p>
      <w:pPr>
        <w:jc w:val="both"/>
        <w:ind w:left="1240" w:right="1659"/>
        <w:spacing w:after="0" w:line="260" w:lineRule="auto"/>
        <w:rPr>
          <w:sz w:val="20"/>
          <w:szCs w:val="20"/>
          <w:color w:val="auto"/>
        </w:rPr>
      </w:pPr>
      <w:r>
        <w:rPr>
          <w:rFonts w:ascii="Arial" w:cs="Arial" w:eastAsia="Arial" w:hAnsi="Arial"/>
          <w:sz w:val="14"/>
          <w:szCs w:val="14"/>
          <w:color w:val="auto"/>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428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30650" cy="142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2017, the U.S. Food and Drug Administration, or FDA, approved the first two CAR-T 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autoleucel, branded Tecartus®, was approved in July 2020 and Bristol Myers Squibbs’ lisocabtagene maraleucel, branded Breyanzi®, received FDA approval in February 2021. Yescarta®, Kymriah® and Breyanzi® are approved for the treatment for relapsed or refractory large B-cell lymphoma, and Yescarta® is also approved for relapsed or refractory lymphoma and Tecartus® is approved for the treatment of relapsed or refractory mantle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311" w:lineRule="exact"/>
        <w:rPr>
          <w:sz w:val="20"/>
          <w:szCs w:val="20"/>
          <w:color w:val="auto"/>
        </w:rPr>
      </w:pPr>
    </w:p>
    <w:p>
      <w:pPr>
        <w:ind w:left="1240" w:right="1799"/>
        <w:spacing w:after="0" w:line="262" w:lineRule="auto"/>
        <w:rPr>
          <w:sz w:val="20"/>
          <w:szCs w:val="20"/>
          <w:color w:val="auto"/>
        </w:rPr>
      </w:pPr>
      <w:r>
        <w:rPr>
          <w:rFonts w:ascii="Arial" w:cs="Arial" w:eastAsia="Arial" w:hAnsi="Arial"/>
          <w:sz w:val="14"/>
          <w:szCs w:val="14"/>
          <w:b w:val="1"/>
          <w:bCs w:val="1"/>
          <w:i w:val="1"/>
          <w:iCs w:val="1"/>
          <w:color w:val="auto"/>
        </w:rPr>
        <w:t>Advancements in cell therapy approaches have enhanced treatment alternatives for patients</w:t>
      </w:r>
    </w:p>
    <w:p>
      <w:pPr>
        <w:spacing w:after="0" w:line="93"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21285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30650" cy="212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autologous CAR-T therapies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healthy donor-derived allogeneic CAR-NK and CAR-T therapies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GvHD.</w:t>
      </w:r>
    </w:p>
    <w:p>
      <w:pPr>
        <w:spacing w:after="0" w:line="1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Graft versus host disease, or GvHD, is a serious and life-threatening condition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Host versus graft rejection.</w:t>
      </w:r>
    </w:p>
    <w:p>
      <w:pPr>
        <w:spacing w:after="0" w:line="13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Limited gene editing potential.</w:t>
      </w:r>
    </w:p>
    <w:p>
      <w:pPr>
        <w:spacing w:after="0" w:line="131" w:lineRule="exact"/>
        <w:rPr>
          <w:sz w:val="20"/>
          <w:szCs w:val="20"/>
          <w:color w:val="auto"/>
        </w:rPr>
      </w:pPr>
    </w:p>
    <w:p>
      <w:pPr>
        <w:ind w:left="1240" w:right="1539"/>
        <w:spacing w:after="0" w:line="275" w:lineRule="auto"/>
        <w:rPr>
          <w:sz w:val="20"/>
          <w:szCs w:val="20"/>
          <w:color w:val="auto"/>
        </w:rPr>
      </w:pPr>
      <w:r>
        <w:rPr>
          <w:rFonts w:ascii="Arial" w:cs="Arial" w:eastAsia="Arial" w:hAnsi="Arial"/>
          <w:sz w:val="14"/>
          <w:szCs w:val="14"/>
          <w:color w:val="auto"/>
        </w:rPr>
        <w:t>Allogeneic approaches that utilize differentiated lymphocytes are limited to just a few genetic edits. One edit utilized consistently across all allogeneic approaches is the addition of a CAR. Furthermore, elimination of the HLA-I 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Finite replication capacity.</w:t>
      </w:r>
    </w:p>
    <w:p>
      <w:pPr>
        <w:spacing w:after="0" w:line="142"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iPSC vs. donor-derived approaches</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Receptive to complex genetic editing.</w:t>
      </w:r>
    </w:p>
    <w:p>
      <w:pPr>
        <w:spacing w:after="0" w:line="13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replication capacity.</w:t>
      </w:r>
    </w:p>
    <w:p>
      <w:pPr>
        <w:spacing w:after="0" w:line="142"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iPSCs are derived from single cell clones, which are used to construct a master cell bank capable of providing a sufficient number of doses for the life of a product due to the unlimited replicative capacity of iPSCs.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Streamlined manufacturing and consistent product.</w:t>
      </w:r>
    </w:p>
    <w:p>
      <w:pPr>
        <w:spacing w:after="0" w:line="142" w:lineRule="exact"/>
        <w:rPr>
          <w:sz w:val="20"/>
          <w:szCs w:val="20"/>
          <w:color w:val="auto"/>
        </w:rPr>
      </w:pPr>
    </w:p>
    <w:p>
      <w:pPr>
        <w:jc w:val="both"/>
        <w:ind w:left="1240" w:right="1479"/>
        <w:spacing w:after="0" w:line="278" w:lineRule="auto"/>
        <w:rPr>
          <w:sz w:val="20"/>
          <w:szCs w:val="20"/>
          <w:color w:val="auto"/>
        </w:rPr>
      </w:pPr>
      <w:r>
        <w:rPr>
          <w:rFonts w:ascii="Arial" w:cs="Arial" w:eastAsia="Arial" w:hAnsi="Arial"/>
          <w:sz w:val="14"/>
          <w:szCs w:val="14"/>
          <w:color w:val="auto"/>
        </w:rPr>
        <w:t>The use of a single master cell bank allows iPSC-derived products to be produced with greater consistency, at the greatest possible scale and at reduced cost compared to donor-derived NK cells or T cells.</w:t>
      </w:r>
    </w:p>
    <w:p>
      <w:pPr>
        <w:spacing w:after="0" w:line="94" w:lineRule="exact"/>
        <w:rPr>
          <w:sz w:val="20"/>
          <w:szCs w:val="20"/>
          <w:color w:val="auto"/>
        </w:rPr>
      </w:pPr>
    </w:p>
    <w:p>
      <w:pPr>
        <w:ind w:left="1240" w:right="1299"/>
        <w:spacing w:after="0" w:line="286" w:lineRule="auto"/>
        <w:rPr>
          <w:sz w:val="20"/>
          <w:szCs w:val="20"/>
          <w:color w:val="auto"/>
        </w:rPr>
      </w:pPr>
      <w:r>
        <w:rPr>
          <w:rFonts w:ascii="Arial" w:cs="Arial" w:eastAsia="Arial" w:hAnsi="Arial"/>
          <w:sz w:val="14"/>
          <w:szCs w:val="14"/>
          <w:color w:val="auto"/>
        </w:rPr>
        <w:t>We believe that iPSC-derived cell therapies provide meaningful advantages over other modalities and have the potential to disrupt the oncology treatment paradigm.</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127000</wp:posOffset>
            </wp:positionV>
            <wp:extent cx="3230245" cy="2073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0245"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i w:val="1"/>
          <w:iCs w:val="1"/>
          <w:color w:val="auto"/>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clinical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rationale for developing both iNK and iT allogeneic cell therapy platforms</w:t>
      </w:r>
    </w:p>
    <w:p>
      <w:pPr>
        <w:spacing w:after="0" w:line="144"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Development of CAR-NK and CAR-T platforms: distinct biology influences disease-specific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81915</wp:posOffset>
            </wp:positionV>
            <wp:extent cx="3502025" cy="21418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02025" cy="214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proprietary technology and differentiated approach</w:t>
      </w:r>
    </w:p>
    <w:p>
      <w:pPr>
        <w:spacing w:after="0" w:line="113"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Advanced cell engineering expertise further differentiates our iPSC-derived allogeneic cell therapies</w:t>
      </w:r>
    </w:p>
    <w:p>
      <w:pPr>
        <w:spacing w:after="0" w:line="6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93345</wp:posOffset>
            </wp:positionV>
            <wp:extent cx="3053080" cy="144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53080" cy="144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Common engineered iPSC progenitor</w:t>
      </w:r>
    </w:p>
    <w:p>
      <w:pPr>
        <w:spacing w:after="0" w:line="99" w:lineRule="exact"/>
        <w:rPr>
          <w:sz w:val="20"/>
          <w:szCs w:val="20"/>
          <w:color w:val="auto"/>
        </w:rPr>
      </w:pPr>
    </w:p>
    <w:p>
      <w:pPr>
        <w:jc w:val="both"/>
        <w:ind w:left="1240" w:right="1399"/>
        <w:spacing w:after="0" w:line="223" w:lineRule="auto"/>
        <w:rPr>
          <w:sz w:val="20"/>
          <w:szCs w:val="20"/>
          <w:color w:val="auto"/>
        </w:rPr>
      </w:pPr>
      <w:r>
        <w:rPr>
          <w:rFonts w:ascii="Arial" w:cs="Arial" w:eastAsia="Arial" w:hAnsi="Arial"/>
          <w:sz w:val="14"/>
          <w:szCs w:val="14"/>
          <w:color w:val="auto"/>
        </w:rPr>
        <w:t>All of our product candidates include a set of core features to increase their functionality, safety, and persistence. These features include (i)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enable the cells to avoid detection by the host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 xml:space="preserve">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4"/>
          <w:szCs w:val="14"/>
          <w:i w:val="1"/>
          <w:iCs w:val="1"/>
          <w:color w:val="auto"/>
        </w:rPr>
        <w:t>in vivo</w:t>
      </w:r>
      <w:r>
        <w:rPr>
          <w:rFonts w:ascii="Arial" w:cs="Arial" w:eastAsia="Arial" w:hAnsi="Arial"/>
          <w:sz w:val="14"/>
          <w:szCs w:val="14"/>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120650</wp:posOffset>
            </wp:positionV>
            <wp:extent cx="3998595" cy="1809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9859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Highly efficient engineering processes</w:t>
      </w:r>
    </w:p>
    <w:p>
      <w:pPr>
        <w:spacing w:after="0" w:line="14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113665</wp:posOffset>
            </wp:positionV>
            <wp:extent cx="3998595" cy="1530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98595"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120650</wp:posOffset>
            </wp:positionV>
            <wp:extent cx="3373120" cy="2209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731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359"/>
        <w:spacing w:after="0" w:line="244" w:lineRule="auto"/>
        <w:rPr>
          <w:sz w:val="20"/>
          <w:szCs w:val="20"/>
          <w:color w:val="auto"/>
        </w:rPr>
      </w:pP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therapeutic efficacy. In combination with the extended killing capability of optimized immune cells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94" w:lineRule="auto"/>
        <w:rPr>
          <w:sz w:val="20"/>
          <w:szCs w:val="20"/>
          <w:color w:val="auto"/>
        </w:rPr>
      </w:pPr>
      <w:r>
        <w:rPr>
          <w:rFonts w:ascii="Arial" w:cs="Arial" w:eastAsia="Arial" w:hAnsi="Arial"/>
          <w:sz w:val="14"/>
          <w:szCs w:val="14"/>
          <w:color w:val="auto"/>
        </w:rPr>
        <w:t>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potential of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using NK inhibitory ligands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right="1319"/>
        <w:spacing w:after="0" w:line="229" w:lineRule="auto"/>
        <w:rPr>
          <w:sz w:val="20"/>
          <w:szCs w:val="20"/>
          <w:color w:val="auto"/>
        </w:rPr>
      </w:pPr>
      <w:r>
        <w:rPr>
          <w:rFonts w:ascii="Arial" w:cs="Arial" w:eastAsia="Arial" w:hAnsi="Arial"/>
          <w:sz w:val="14"/>
          <w:szCs w:val="14"/>
          <w:i w:val="1"/>
          <w:iCs w:val="1"/>
          <w:color w:val="auto"/>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CD4</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llustrative potential of PK of Allo-Evasion</w:t>
      </w:r>
      <w:r>
        <w:rPr>
          <w:rFonts w:ascii="Arial" w:cs="Arial" w:eastAsia="Arial" w:hAnsi="Arial"/>
          <w:sz w:val="21"/>
          <w:szCs w:val="21"/>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99695</wp:posOffset>
            </wp:positionV>
            <wp:extent cx="3978275" cy="17678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782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Future generations of our cell therapies will embrace an extended range of capabilities</w:t>
      </w:r>
    </w:p>
    <w:p>
      <w:pPr>
        <w:spacing w:after="0" w:line="142"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Future product candidates will be designed to embrace a potentially extended range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116205</wp:posOffset>
            </wp:positionV>
            <wp:extent cx="2849245" cy="17748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4924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product quality and COGS advantages</w:t>
      </w:r>
    </w:p>
    <w:p>
      <w:pPr>
        <w:spacing w:after="0" w:line="133"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8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27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291"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59"/>
        <w:spacing w:after="0" w:line="294" w:lineRule="auto"/>
        <w:rPr>
          <w:sz w:val="20"/>
          <w:szCs w:val="20"/>
          <w:color w:val="auto"/>
        </w:rPr>
      </w:pPr>
      <w:r>
        <w:rPr>
          <w:rFonts w:ascii="Arial" w:cs="Arial" w:eastAsia="Arial" w:hAnsi="Arial"/>
          <w:sz w:val="14"/>
          <w:szCs w:val="14"/>
          <w:color w:val="auto"/>
        </w:rPr>
        <w:t>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21" w:lineRule="exact"/>
        <w:rPr>
          <w:sz w:val="20"/>
          <w:szCs w:val="20"/>
          <w:color w:val="auto"/>
        </w:rPr>
      </w:pPr>
    </w:p>
    <w:p>
      <w:pPr>
        <w:ind w:left="1240" w:right="1779"/>
        <w:spacing w:after="0" w:line="262" w:lineRule="auto"/>
        <w:rPr>
          <w:sz w:val="20"/>
          <w:szCs w:val="20"/>
          <w:color w:val="auto"/>
        </w:rPr>
      </w:pPr>
      <w:r>
        <w:rPr>
          <w:rFonts w:ascii="Arial" w:cs="Arial" w:eastAsia="Arial" w:hAnsi="Arial"/>
          <w:sz w:val="14"/>
          <w:szCs w:val="14"/>
          <w:b w:val="1"/>
          <w:bCs w:val="1"/>
          <w:i w:val="1"/>
          <w:iCs w:val="1"/>
          <w:color w:val="auto"/>
        </w:rPr>
        <w:t>Off-the-shelf commercialization opportunity for iPSC-derived allogeneic cell therapy platform derived product candidates</w:t>
      </w:r>
    </w:p>
    <w:p>
      <w:pPr>
        <w:spacing w:after="0" w:line="93" w:lineRule="exact"/>
        <w:rPr>
          <w:sz w:val="20"/>
          <w:szCs w:val="20"/>
          <w:color w:val="auto"/>
        </w:rPr>
      </w:pPr>
    </w:p>
    <w:p>
      <w:pPr>
        <w:ind w:left="1240" w:right="1399"/>
        <w:spacing w:after="0" w:line="292" w:lineRule="auto"/>
        <w:rPr>
          <w:sz w:val="20"/>
          <w:szCs w:val="20"/>
          <w:color w:val="auto"/>
        </w:rPr>
      </w:pPr>
      <w:r>
        <w:rPr>
          <w:rFonts w:ascii="Arial" w:cs="Arial" w:eastAsia="Arial" w:hAnsi="Arial"/>
          <w:sz w:val="14"/>
          <w:szCs w:val="14"/>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95"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Preclinical profiles or characteristics of development candidates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product platforms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iNK cell platform is our most advanced iPSC-derived cell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right="1279"/>
        <w:spacing w:after="0" w:line="266" w:lineRule="auto"/>
        <w:rPr>
          <w:sz w:val="20"/>
          <w:szCs w:val="20"/>
          <w:color w:val="auto"/>
        </w:rPr>
      </w:pPr>
      <w:r>
        <w:rPr>
          <w:rFonts w:ascii="Arial" w:cs="Arial" w:eastAsia="Arial" w:hAnsi="Arial"/>
          <w:sz w:val="14"/>
          <w:szCs w:val="14"/>
          <w:color w:val="auto"/>
        </w:rPr>
        <w:t>Left panel: cartoon representation of CNTY-101, our first iNK cell clinical candidate. Right panel: NALM-6 tumor growth inhibition of mice treated with CD19-CAR-iNK cells (clone iPSC611). The CD19-CAR-iNK cells were administered intravenously at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Days 1, 8, and 15, as indicated by the arrows. CD19-CAR-iNK cells demonstrate statistically significant (p=0.0027) anti-tumor growth inhibition compared to untreated control animals (“Tumor only”). Tumor burden was measured as the “Average radiance” of tumor-bearing mice.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iT Cell platform is closely behind and making rapid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61595</wp:posOffset>
            </wp:positionV>
            <wp:extent cx="3930650" cy="1659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30650" cy="165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Left panel: cartoon representation of an iPSC-derived CAR-iT cell, expressing a Trusted TCR, that is, a TCR that is not expected to cause GvHD. Right panel: NALM-6 tumor growth inhibition of mice treated with Century CAR-iT cells. The CD19-CAR-iT cells were administered as a single intravenous dose of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 1, as indicated by the arrow. The CD19-CAR-iT cells demonstrate statistically significant (p&lt;0.0001) anti-tumor growth inhibition compared to untreated control animals (“Tumor only”). Tumor burden was measured as the “Average radiance” of tumor-bearing mice.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iPSC-derived iNK cell platform</w:t>
      </w:r>
    </w:p>
    <w:p>
      <w:pPr>
        <w:spacing w:after="0" w:line="9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237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30650"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We have intentionally focused on the parameters that define immune cell functionality to direct internal development initiatives. This focus is intended to improve upon the intellectual property licensed from FCDI.</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1" w:lineRule="auto"/>
        <w:rPr>
          <w:sz w:val="20"/>
          <w:szCs w:val="20"/>
          <w:color w:val="auto"/>
        </w:rPr>
      </w:pPr>
      <w:r>
        <w:rPr>
          <w:rFonts w:ascii="Arial" w:cs="Arial" w:eastAsia="Arial" w:hAnsi="Arial"/>
          <w:sz w:val="14"/>
          <w:szCs w:val="14"/>
          <w:color w:val="auto"/>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85" w:lineRule="exact"/>
        <w:rPr>
          <w:sz w:val="20"/>
          <w:szCs w:val="20"/>
          <w:color w:val="auto"/>
        </w:rPr>
      </w:pPr>
    </w:p>
    <w:p>
      <w:pPr>
        <w:ind w:left="1240" w:right="1259"/>
        <w:spacing w:after="0" w:line="290" w:lineRule="auto"/>
        <w:rPr>
          <w:sz w:val="20"/>
          <w:szCs w:val="20"/>
          <w:color w:val="auto"/>
        </w:rPr>
      </w:pPr>
      <w:r>
        <w:rPr>
          <w:rFonts w:ascii="Arial" w:cs="Arial" w:eastAsia="Arial" w:hAnsi="Arial"/>
          <w:sz w:val="14"/>
          <w:szCs w:val="14"/>
          <w:color w:val="auto"/>
        </w:rPr>
        <w:t xml:space="preserve">Assessment of these cells’ functionality demonstrates their potential for tumor cell cytotoxicity. Through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127000</wp:posOffset>
            </wp:positionV>
            <wp:extent cx="2931160" cy="2067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31160"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299"/>
        <w:spacing w:after="0" w:line="246" w:lineRule="auto"/>
        <w:rPr>
          <w:sz w:val="20"/>
          <w:szCs w:val="20"/>
          <w:color w:val="auto"/>
        </w:rPr>
      </w:pPr>
      <w:r>
        <w:rPr>
          <w:rFonts w:ascii="Arial" w:cs="Arial" w:eastAsia="Arial" w:hAnsi="Arial"/>
          <w:sz w:val="14"/>
          <w:szCs w:val="14"/>
          <w:i w:val="1"/>
          <w:iCs w:val="1"/>
          <w:color w:val="auto"/>
        </w:rPr>
        <w:t>Century’s iNK cells and peripheral blood mononuclear cell, or PBMC, NK cells were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281"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127000</wp:posOffset>
            </wp:positionV>
            <wp:extent cx="2951480" cy="2169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5148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99"/>
        <w:spacing w:after="0" w:line="248" w:lineRule="auto"/>
        <w:rPr>
          <w:sz w:val="20"/>
          <w:szCs w:val="20"/>
          <w:color w:val="auto"/>
        </w:rPr>
      </w:pPr>
      <w:r>
        <w:rPr>
          <w:rFonts w:ascii="Arial" w:cs="Arial" w:eastAsia="Arial" w:hAnsi="Arial"/>
          <w:sz w:val="14"/>
          <w:szCs w:val="14"/>
          <w:i w:val="1"/>
          <w:iCs w:val="1"/>
          <w:color w:val="auto"/>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4"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133985</wp:posOffset>
            </wp:positionV>
            <wp:extent cx="2971800" cy="1917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71800"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right="1279"/>
        <w:spacing w:after="0" w:line="227" w:lineRule="auto"/>
        <w:rPr>
          <w:sz w:val="20"/>
          <w:szCs w:val="20"/>
          <w:color w:val="auto"/>
        </w:rPr>
      </w:pPr>
      <w:r>
        <w:rPr>
          <w:rFonts w:ascii="Arial" w:cs="Arial" w:eastAsia="Arial" w:hAnsi="Arial"/>
          <w:sz w:val="14"/>
          <w:szCs w:val="14"/>
          <w:i w:val="1"/>
          <w:iCs w:val="1"/>
          <w:color w:val="auto"/>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2" w:lineRule="exact"/>
        <w:rPr>
          <w:sz w:val="20"/>
          <w:szCs w:val="20"/>
          <w:color w:val="auto"/>
        </w:rPr>
      </w:pPr>
    </w:p>
    <w:p>
      <w:pPr>
        <w:ind w:left="1240" w:right="1479" w:firstLine="9"/>
        <w:spacing w:after="0" w:line="239" w:lineRule="auto"/>
        <w:tabs>
          <w:tab w:leader="none" w:pos="1326"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tumor only well at time x) / (tumor and iNK well at first time point) * 100. Loss in killing activity was observed between rounds seven and eight.</w:t>
      </w:r>
    </w:p>
    <w:p>
      <w:pPr>
        <w:spacing w:after="0" w:line="94"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 xml:space="preserve">The tumor-killing potential of our iNK cells was confirmed through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Our CAR-iNK cells have robust anti-tumor activity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120650</wp:posOffset>
            </wp:positionV>
            <wp:extent cx="3107690" cy="2808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07690" cy="280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07"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93345</wp:posOffset>
            </wp:positionV>
            <wp:extent cx="2359660" cy="2162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59660"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IPSC-derived iT cell platform</w:t>
      </w:r>
    </w:p>
    <w:p>
      <w:pPr>
        <w:spacing w:after="0" w:line="1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93345</wp:posOffset>
            </wp:positionV>
            <wp:extent cx="3427095" cy="1802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709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Trusted TCR constructs enable our generation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w:t>
      </w:r>
    </w:p>
    <w:p>
      <w:pPr>
        <w:spacing w:after="0" w:line="60"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Many companies that are pursing the development of allogeneic T cell therapies engineer T cell with an intentionally deleted TCR to eliminate the risk of GvHD. We have taken a fundamentally different approach;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95" w:lineRule="exact"/>
        <w:rPr>
          <w:sz w:val="20"/>
          <w:szCs w:val="20"/>
          <w:color w:val="auto"/>
        </w:rPr>
      </w:pPr>
    </w:p>
    <w:p>
      <w:pPr>
        <w:ind w:left="1240" w:right="1259"/>
        <w:spacing w:after="0" w:line="245" w:lineRule="auto"/>
        <w:rPr>
          <w:sz w:val="20"/>
          <w:szCs w:val="20"/>
          <w:color w:val="auto"/>
        </w:rPr>
      </w:pPr>
      <w:r>
        <w:rPr>
          <w:rFonts w:ascii="Arial" w:cs="Arial" w:eastAsia="Arial" w:hAnsi="Arial"/>
          <w:sz w:val="14"/>
          <w:szCs w:val="14"/>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as a contrast to T cell engineered without a TCR.</w:t>
      </w:r>
    </w:p>
    <w:p>
      <w:pPr>
        <w:spacing w:after="0" w:line="256" w:lineRule="exact"/>
        <w:rPr>
          <w:sz w:val="20"/>
          <w:szCs w:val="20"/>
          <w:color w:val="auto"/>
        </w:rPr>
      </w:pPr>
    </w:p>
    <w:p>
      <w:pPr>
        <w:ind w:left="1240" w:right="1259"/>
        <w:spacing w:after="0" w:line="251" w:lineRule="auto"/>
        <w:rPr>
          <w:sz w:val="20"/>
          <w:szCs w:val="20"/>
          <w:color w:val="auto"/>
        </w:rPr>
      </w:pPr>
      <w:r>
        <w:rPr>
          <w:rFonts w:ascii="Arial" w:cs="Arial" w:eastAsia="Arial" w:hAnsi="Arial"/>
          <w:sz w:val="14"/>
          <w:szCs w:val="14"/>
          <w:color w:val="auto"/>
        </w:rPr>
        <w:t>For any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114" w:lineRule="exact"/>
        <w:rPr>
          <w:sz w:val="20"/>
          <w:szCs w:val="20"/>
          <w:color w:val="auto"/>
        </w:rPr>
      </w:pPr>
    </w:p>
    <w:p>
      <w:pPr>
        <w:ind w:left="1240" w:right="1739"/>
        <w:spacing w:after="0" w:line="224" w:lineRule="auto"/>
        <w:rPr>
          <w:sz w:val="20"/>
          <w:szCs w:val="20"/>
          <w:color w:val="auto"/>
        </w:rPr>
      </w:pPr>
      <w:r>
        <w:rPr>
          <w:rFonts w:ascii="Arial" w:cs="Arial" w:eastAsia="Arial" w:hAnsi="Arial"/>
          <w:sz w:val="14"/>
          <w:szCs w:val="14"/>
          <w:b w:val="1"/>
          <w:bCs w:val="1"/>
          <w:i w:val="1"/>
          <w:iCs w:val="1"/>
          <w:color w:val="auto"/>
        </w:rPr>
        <w:t>Differentiation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 results in cells that co-express TCR and CD3 and can utilize an engineered CAR for target cell killing</w:t>
      </w:r>
    </w:p>
    <w:p>
      <w:pPr>
        <w:spacing w:after="0" w:line="93" w:lineRule="exact"/>
        <w:rPr>
          <w:sz w:val="20"/>
          <w:szCs w:val="20"/>
          <w:color w:val="auto"/>
        </w:rPr>
      </w:pPr>
    </w:p>
    <w:p>
      <w:pPr>
        <w:ind w:left="1240" w:right="1359"/>
        <w:spacing w:after="0" w:line="267" w:lineRule="auto"/>
        <w:rPr>
          <w:sz w:val="20"/>
          <w:szCs w:val="20"/>
          <w:color w:val="auto"/>
        </w:rPr>
      </w:pPr>
      <w:r>
        <w:rPr>
          <w:rFonts w:ascii="Arial" w:cs="Arial" w:eastAsia="Arial" w:hAnsi="Arial"/>
          <w:sz w:val="14"/>
          <w:szCs w:val="14"/>
          <w:color w:val="auto"/>
        </w:rPr>
        <w:t xml:space="preserve">The process for differentiating T cells from iPSC is a multistage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90"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106680</wp:posOffset>
            </wp:positionV>
            <wp:extent cx="3644900" cy="16998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4490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120650</wp:posOffset>
            </wp:positionV>
            <wp:extent cx="2251075" cy="17678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510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06"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113665</wp:posOffset>
            </wp:positionV>
            <wp:extent cx="3481705" cy="15506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8170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T-iPSC line was also engineered with a CAR transgene, the CAR protein was also detected on the surface of these iT cells (right panel).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75565</wp:posOffset>
            </wp:positionV>
            <wp:extent cx="2693035" cy="2046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93035"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81280</wp:posOffset>
            </wp:positionV>
            <wp:extent cx="4134485" cy="15982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3448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Serial killing of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tumor cells by CAR-γδ-iT cells is comparable to PBMC-derived CAR-T</w:t>
      </w:r>
    </w:p>
    <w:p>
      <w:pPr>
        <w:ind w:left="1240" w:right="1299"/>
        <w:spacing w:after="0" w:line="227" w:lineRule="auto"/>
        <w:rPr>
          <w:sz w:val="20"/>
          <w:szCs w:val="20"/>
          <w:color w:val="auto"/>
        </w:rPr>
      </w:pPr>
      <w:r>
        <w:rPr>
          <w:rFonts w:ascii="Arial" w:cs="Arial" w:eastAsia="Arial" w:hAnsi="Arial"/>
          <w:sz w:val="14"/>
          <w:szCs w:val="14"/>
          <w:i w:val="1"/>
          <w:iCs w:val="1"/>
          <w:color w:val="auto"/>
        </w:rPr>
        <w:t>cells. The serial killing assay was performed using an Incucyte instrument where viable tumor cells expressed Nuclight Red and were enumerated every 3 hours based on Red Calibrated Units, or RCU, a measure of total red fluorescence. At the beginning of the culture, 1e5 CAR-γδ-iT or CAR-T were added to each well followed by addition of 2e4 NALM-6 target cells (Nuclight Red+). Cells were cultured in complete medium with 10 ng/ml rhIL- 15. Every 24 hours, 2e4 fresh NALM-6 cells were added to the culture and data was recorded for 10 days. Increasing RCU indicates daily addition of new targets and/or outgrowth of tumor cells. Decreasing RCU indicates tumor cell killing by γδ CAR-iT cells or PBMC CAR-T cells.</w:t>
      </w:r>
    </w:p>
    <w:p>
      <w:pPr>
        <w:spacing w:after="0" w:line="110" w:lineRule="exact"/>
        <w:rPr>
          <w:sz w:val="20"/>
          <w:szCs w:val="20"/>
          <w:color w:val="auto"/>
        </w:rPr>
      </w:pPr>
    </w:p>
    <w:p>
      <w:pPr>
        <w:ind w:left="1240" w:right="1299"/>
        <w:spacing w:after="0" w:line="223" w:lineRule="auto"/>
        <w:rPr>
          <w:sz w:val="20"/>
          <w:szCs w:val="20"/>
          <w:color w:val="auto"/>
        </w:rPr>
      </w:pPr>
      <w:r>
        <w:rPr>
          <w:rFonts w:ascii="Arial" w:cs="Arial" w:eastAsia="Arial" w:hAnsi="Arial"/>
          <w:sz w:val="14"/>
          <w:szCs w:val="14"/>
          <w:color w:val="auto"/>
        </w:rPr>
        <w:t>Collectively, we have made significant progress in deriving iPSC lines that carry Trusted TCRs as well as refining the differentiation process to generate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that express a TCR and a CAR. The cells mediate robust killing</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development candidates</w:t>
      </w:r>
    </w:p>
    <w:p>
      <w:pPr>
        <w:spacing w:after="0" w:line="118" w:lineRule="exact"/>
        <w:rPr>
          <w:sz w:val="20"/>
          <w:szCs w:val="20"/>
          <w:color w:val="auto"/>
        </w:rPr>
      </w:pPr>
    </w:p>
    <w:p>
      <w:pPr>
        <w:ind w:left="1240" w:right="1279"/>
        <w:spacing w:after="0" w:line="246"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an IND in the second half of 2023. Our fourth product candidate, CNTY-104, is being developed to treat AML with the IND expected in mid 2024. 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213995</wp:posOffset>
            </wp:positionV>
            <wp:extent cx="3930650" cy="11087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3065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00" w:right="1359" w:hanging="251"/>
        <w:spacing w:after="0" w:line="244" w:lineRule="auto"/>
        <w:tabs>
          <w:tab w:leader="none" w:pos="150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1279"/>
        <w:spacing w:after="0" w:line="458" w:lineRule="auto"/>
        <w:rPr>
          <w:sz w:val="20"/>
          <w:szCs w:val="20"/>
          <w:color w:val="auto"/>
        </w:rPr>
      </w:pPr>
      <w:r>
        <w:rPr>
          <w:rFonts w:ascii="Arial" w:cs="Arial" w:eastAsia="Arial" w:hAnsi="Arial"/>
          <w:sz w:val="14"/>
          <w:szCs w:val="14"/>
          <w:b w:val="1"/>
          <w:bCs w:val="1"/>
          <w:i w:val="1"/>
          <w:iCs w:val="1"/>
          <w:color w:val="auto"/>
        </w:rPr>
        <w:t xml:space="preserve">CNTY-101: Our CAR-iNK candidate targeting CD19 for relapsed, refractory B-cell lymphoma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Current treatment and shortcomings</w:t>
      </w:r>
    </w:p>
    <w:p>
      <w:pPr>
        <w:spacing w:after="0" w:line="13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9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 and development program</w:t>
      </w:r>
    </w:p>
    <w:p>
      <w:pPr>
        <w:spacing w:after="0" w:line="121" w:lineRule="exact"/>
        <w:rPr>
          <w:sz w:val="20"/>
          <w:szCs w:val="20"/>
          <w:color w:val="auto"/>
        </w:rPr>
      </w:pPr>
    </w:p>
    <w:p>
      <w:pPr>
        <w:jc w:val="both"/>
        <w:ind w:left="1240" w:right="1399"/>
        <w:spacing w:after="0" w:line="270" w:lineRule="auto"/>
        <w:rPr>
          <w:sz w:val="20"/>
          <w:szCs w:val="20"/>
          <w:color w:val="auto"/>
        </w:rPr>
      </w:pPr>
      <w:r>
        <w:rPr>
          <w:rFonts w:ascii="Arial" w:cs="Arial" w:eastAsia="Arial" w:hAnsi="Arial"/>
          <w:sz w:val="14"/>
          <w:szCs w:val="14"/>
          <w:color w:val="auto"/>
        </w:rPr>
        <w:t>Our lead product candidate, CNTY-101, is an allogeneic, iPSC-derived CAR-iNK cell product for the treatment of B-cell lymphomas. CNTY-101 has been engineered with the following features:</w:t>
      </w:r>
    </w:p>
    <w:p>
      <w:pPr>
        <w:spacing w:after="0" w:line="77" w:lineRule="exact"/>
        <w:rPr>
          <w:sz w:val="20"/>
          <w:szCs w:val="20"/>
          <w:color w:val="auto"/>
        </w:rPr>
      </w:pPr>
    </w:p>
    <w:p>
      <w:pPr>
        <w:ind w:left="1620" w:right="145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expression of CD19 CAR to target malignant B cells. Our CAR construct uses the FMC63 scFv and the signaling domains of CD28 and CD3ζ;</w:t>
      </w:r>
    </w:p>
    <w:p>
      <w:pPr>
        <w:spacing w:after="0" w:line="44"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knock-out of HLA-I and HLA-II to escape elimination by the patient’s CD8 and CD4 T cells;</w:t>
      </w:r>
    </w:p>
    <w:p>
      <w:pPr>
        <w:spacing w:after="0" w:line="96"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knock-in of HLA-E to avoid killing by the patient’s NK cells;</w:t>
      </w:r>
    </w:p>
    <w:p>
      <w:pPr>
        <w:spacing w:after="0" w:line="85" w:lineRule="exact"/>
        <w:rPr>
          <w:rFonts w:ascii="Arial" w:cs="Arial" w:eastAsia="Arial" w:hAnsi="Arial"/>
          <w:sz w:val="14"/>
          <w:szCs w:val="14"/>
          <w:color w:val="auto"/>
        </w:rPr>
      </w:pPr>
    </w:p>
    <w:p>
      <w:pPr>
        <w:ind w:left="1620" w:right="157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expression of IL-15 to provide homeostatic cytokine support to improve persistence and functionality; and</w:t>
      </w:r>
    </w:p>
    <w:p>
      <w:pPr>
        <w:spacing w:after="0" w:line="55" w:lineRule="exact"/>
        <w:rPr>
          <w:rFonts w:ascii="Arial" w:cs="Arial" w:eastAsia="Arial" w:hAnsi="Arial"/>
          <w:sz w:val="14"/>
          <w:szCs w:val="14"/>
          <w:color w:val="auto"/>
        </w:rPr>
      </w:pPr>
    </w:p>
    <w:p>
      <w:pPr>
        <w:ind w:left="1620" w:hanging="114"/>
        <w:spacing w:after="0"/>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incorporation of an EGFR safety switch to allow for elimination of the product if necessary.</w:t>
      </w:r>
    </w:p>
    <w:p>
      <w:pPr>
        <w:spacing w:after="0" w:line="11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06" w:lineRule="exact"/>
        <w:rPr>
          <w:sz w:val="20"/>
          <w:szCs w:val="20"/>
          <w:color w:val="auto"/>
        </w:rPr>
      </w:pPr>
    </w:p>
    <w:p>
      <w:pPr>
        <w:ind w:left="1240" w:right="1259"/>
        <w:spacing w:after="0" w:line="246" w:lineRule="auto"/>
        <w:rPr>
          <w:sz w:val="20"/>
          <w:szCs w:val="20"/>
          <w:color w:val="auto"/>
        </w:rPr>
      </w:pPr>
      <w:r>
        <w:rPr>
          <w:rFonts w:ascii="Arial" w:cs="Arial" w:eastAsia="Arial" w:hAnsi="Arial"/>
          <w:sz w:val="14"/>
          <w:szCs w:val="14"/>
          <w:color w:val="auto"/>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113665</wp:posOffset>
            </wp:positionV>
            <wp:extent cx="3971290" cy="17341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71290"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40" w:right="1399"/>
        <w:spacing w:after="0" w:line="307" w:lineRule="auto"/>
        <w:rPr>
          <w:sz w:val="20"/>
          <w:szCs w:val="20"/>
          <w:color w:val="auto"/>
        </w:rPr>
      </w:pPr>
      <w:r>
        <w:rPr>
          <w:rFonts w:ascii="Arial" w:cs="Arial" w:eastAsia="Arial" w:hAnsi="Arial"/>
          <w:sz w:val="14"/>
          <w:szCs w:val="14"/>
          <w:i w:val="1"/>
          <w:iCs w:val="1"/>
          <w:color w:val="auto"/>
        </w:rPr>
        <w:t>Left panel: engineered features of CNTY-101. Right panel: structure of the CD19 CAR construct used in CNTY-101</w:t>
      </w:r>
    </w:p>
    <w:p>
      <w:pPr>
        <w:spacing w:after="0" w:line="73"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have completed engineering of iPSC lines from five different donors and single cell cloning of numerous iPSC lines. The single cell clones are undergoing genotype and phenotype identity, purity, safety, manufacturability,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59"/>
        <w:spacing w:after="0" w:line="261" w:lineRule="auto"/>
        <w:rPr>
          <w:sz w:val="20"/>
          <w:szCs w:val="20"/>
          <w:color w:val="auto"/>
        </w:rPr>
      </w:pPr>
      <w:r>
        <w:rPr>
          <w:rFonts w:ascii="Arial" w:cs="Arial" w:eastAsia="Arial" w:hAnsi="Arial"/>
          <w:sz w:val="14"/>
          <w:szCs w:val="14"/>
          <w:i w:val="1"/>
          <w:iCs w:val="1"/>
          <w:color w:val="auto"/>
        </w:rPr>
        <w:t xml:space="preserve">in vitro </w:t>
      </w:r>
      <w:r>
        <w:rPr>
          <w:rFonts w:ascii="Arial" w:cs="Arial" w:eastAsia="Arial" w:hAnsi="Arial"/>
          <w:sz w:val="14"/>
          <w:szCs w:val="14"/>
          <w:color w:val="auto"/>
        </w:rPr>
        <w:t>and</w:t>
      </w:r>
      <w:r>
        <w:rPr>
          <w:rFonts w:ascii="Arial" w:cs="Arial" w:eastAsia="Arial" w:hAnsi="Arial"/>
          <w:sz w:val="14"/>
          <w:szCs w:val="14"/>
          <w:i w:val="1"/>
          <w:iCs w:val="1"/>
          <w:color w:val="auto"/>
        </w:rPr>
        <w:t xml:space="preserve"> in vivo </w:t>
      </w:r>
      <w:r>
        <w:rPr>
          <w:rFonts w:ascii="Arial" w:cs="Arial" w:eastAsia="Arial" w:hAnsi="Arial"/>
          <w:sz w:val="14"/>
          <w:szCs w:val="14"/>
          <w:color w:val="auto"/>
        </w:rPr>
        <w:t>functional testing. CD19 iNK single cell clones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cytotoxicity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 well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tumor growth inhibition. We expect clinical candidate clone selection in the first half of 2021, and plan to move into IND-enabling preclinical and technical studies and manufacturing at that time. We currently anticipate filing an IND in mid 2022 to advance CNTY-101 into a Phase 1 clinical trial.</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Preclinical studies and selection of the final product candidate for CNTY-101</w:t>
      </w:r>
    </w:p>
    <w:p>
      <w:pPr>
        <w:spacing w:after="0" w:line="121"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evaluation of the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features and safety switch was done on bulk-engineered iPSC lines.</w:t>
      </w: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Allo-Evasion</w:t>
      </w:r>
      <w:r>
        <w:rPr>
          <w:rFonts w:ascii="Arial" w:cs="Arial" w:eastAsia="Arial" w:hAnsi="Arial"/>
          <w:sz w:val="21"/>
          <w:szCs w:val="21"/>
          <w:i w:val="1"/>
          <w:iCs w:val="1"/>
          <w:color w:val="auto"/>
          <w:vertAlign w:val="superscript"/>
        </w:rPr>
        <w:t>TM</w:t>
      </w:r>
      <w:r>
        <w:rPr>
          <w:rFonts w:ascii="Arial" w:cs="Arial" w:eastAsia="Arial" w:hAnsi="Arial"/>
          <w:sz w:val="14"/>
          <w:szCs w:val="14"/>
          <w:i w:val="1"/>
          <w:iCs w:val="1"/>
          <w:color w:val="auto"/>
        </w:rPr>
        <w:t xml:space="preserve"> studies with bulk-engineered CAR-iNK cells</w:t>
      </w:r>
    </w:p>
    <w:p>
      <w:pPr>
        <w:spacing w:after="0" w:line="79" w:lineRule="exact"/>
        <w:rPr>
          <w:sz w:val="20"/>
          <w:szCs w:val="20"/>
          <w:color w:val="auto"/>
        </w:rPr>
      </w:pPr>
    </w:p>
    <w:p>
      <w:pPr>
        <w:ind w:left="1240" w:right="1379"/>
        <w:spacing w:after="0"/>
        <w:rPr>
          <w:sz w:val="20"/>
          <w:szCs w:val="20"/>
          <w:color w:val="auto"/>
        </w:rPr>
      </w:pPr>
      <w:r>
        <w:rPr>
          <w:rFonts w:ascii="Arial" w:cs="Arial" w:eastAsia="Arial" w:hAnsi="Arial"/>
          <w:sz w:val="14"/>
          <w:szCs w:val="14"/>
          <w:color w:val="auto"/>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106680</wp:posOffset>
            </wp:positionV>
            <wp:extent cx="2509520" cy="1924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09520"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97"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Expression of HLA-E prevents killing of iNK cells</w:t>
      </w:r>
    </w:p>
    <w:p>
      <w:pPr>
        <w:spacing w:after="0" w:line="2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68580</wp:posOffset>
            </wp:positionV>
            <wp:extent cx="3406775" cy="17341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6775"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i w:val="1"/>
          <w:iCs w:val="1"/>
          <w:color w:val="auto"/>
        </w:rPr>
        <w:t>In contrast with HLA-I null iNK cells, which are killed by allogeneic NK cells, HLA-I null iNK cells engineered with HLA-E are mostly protected from killing by allogeneic NK cells.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Evaluation of the EGFR safety switch with bulk engineered CAR-iNK cells</w:t>
      </w:r>
    </w:p>
    <w:p>
      <w:pPr>
        <w:spacing w:after="0" w:line="131"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indicates that the cetuximab effectively triggers the elimination of iNK cells engineered with our EGFR safety switch from different tissues including blood, liver, and lungs.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73025</wp:posOffset>
            </wp:positionV>
            <wp:extent cx="4011930" cy="2033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11930" cy="203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40" w:right="1439"/>
        <w:spacing w:after="0" w:line="241" w:lineRule="auto"/>
        <w:rPr>
          <w:sz w:val="20"/>
          <w:szCs w:val="20"/>
          <w:color w:val="auto"/>
        </w:rPr>
      </w:pPr>
      <w:r>
        <w:rPr>
          <w:rFonts w:ascii="Arial" w:cs="Arial" w:eastAsia="Arial" w:hAnsi="Arial"/>
          <w:sz w:val="14"/>
          <w:szCs w:val="14"/>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cloning of engineered iPSC from different donors to identify the final clinical candidate</w:t>
      </w:r>
    </w:p>
    <w:p>
      <w:pPr>
        <w:spacing w:after="0" w:line="13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for final clinical candidate selection, which is set to occur in the first half of 2021. We anticipate filing an IND in mid 2022 and subsequently advance CNTY-101 into a Phase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 clinical trial.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120650</wp:posOffset>
            </wp:positionV>
            <wp:extent cx="4134485" cy="1604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34485"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Selected single-cell clones express engineered transgenes in virtually all cells after expansion</w:t>
      </w:r>
    </w:p>
    <w:p>
      <w:pPr>
        <w:spacing w:after="0" w:line="142"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127000</wp:posOffset>
            </wp:positionV>
            <wp:extent cx="3896360" cy="3230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96360"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40" w:right="1279"/>
        <w:spacing w:after="0" w:line="252" w:lineRule="auto"/>
        <w:rPr>
          <w:sz w:val="20"/>
          <w:szCs w:val="20"/>
          <w:color w:val="auto"/>
        </w:rPr>
      </w:pPr>
      <w:r>
        <w:rPr>
          <w:rFonts w:ascii="Arial" w:cs="Arial" w:eastAsia="Arial" w:hAnsi="Arial"/>
          <w:sz w:val="14"/>
          <w:szCs w:val="14"/>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Functional analysis of iNK cells generated from individual iPSC clones reveals meaningful</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differences in the </w:t>
      </w:r>
      <w:r>
        <w:rPr>
          <w:rFonts w:ascii="Arial" w:cs="Arial" w:eastAsia="Arial" w:hAnsi="Arial"/>
          <w:sz w:val="14"/>
          <w:szCs w:val="14"/>
          <w:b w:val="1"/>
          <w:bCs w:val="1"/>
          <w:i w:val="1"/>
          <w:iCs w:val="1"/>
          <w:color w:val="auto"/>
        </w:rPr>
        <w:t>in vitro</w:t>
      </w:r>
      <w:r>
        <w:rPr>
          <w:rFonts w:ascii="Arial" w:cs="Arial" w:eastAsia="Arial" w:hAnsi="Arial"/>
          <w:sz w:val="14"/>
          <w:szCs w:val="14"/>
          <w:b w:val="1"/>
          <w:bCs w:val="1"/>
          <w:color w:val="auto"/>
        </w:rPr>
        <w:t xml:space="preserve"> persistence and killing capacity of clinical candidates.</w:t>
      </w:r>
    </w:p>
    <w:p>
      <w:pPr>
        <w:spacing w:after="0" w:line="168"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 xml:space="preserve">In addition to assuring uniform transgene expression in the clones under consideration for clinical candidate selection, we compared two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 there was a meaningful difference between clones in the recovery of iNK cells after a seven day culture, with three clones demonstrating particularly favorable persistence.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433705</wp:posOffset>
            </wp:positionV>
            <wp:extent cx="4127500" cy="171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27500" cy="171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right="1299"/>
        <w:spacing w:after="0" w:line="193" w:lineRule="auto"/>
        <w:rPr>
          <w:sz w:val="20"/>
          <w:szCs w:val="20"/>
          <w:color w:val="auto"/>
        </w:rPr>
      </w:pPr>
      <w:r>
        <w:rPr>
          <w:rFonts w:ascii="Arial" w:cs="Arial" w:eastAsia="Arial" w:hAnsi="Arial"/>
          <w:sz w:val="14"/>
          <w:szCs w:val="14"/>
          <w:i w:val="1"/>
          <w:iCs w:val="1"/>
          <w:color w:val="auto"/>
        </w:rPr>
        <w:t>Average iNK cell number as measured by flow cytometry at the conclusion of the 7 day persistence assay. iNK cells were cultured alone or in co-culture with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NALM6 or REH cells</w:t>
      </w:r>
    </w:p>
    <w:p>
      <w:pPr>
        <w:spacing w:after="0" w:line="1" w:lineRule="exact"/>
        <w:rPr>
          <w:sz w:val="20"/>
          <w:szCs w:val="20"/>
          <w:color w:val="auto"/>
        </w:rPr>
      </w:pPr>
    </w:p>
    <w:p>
      <w:pPr>
        <w:ind w:left="1240" w:right="1439"/>
        <w:spacing w:after="0"/>
        <w:rPr>
          <w:sz w:val="20"/>
          <w:szCs w:val="20"/>
          <w:color w:val="auto"/>
        </w:rPr>
      </w:pPr>
      <w:r>
        <w:rPr>
          <w:rFonts w:ascii="Arial" w:cs="Arial" w:eastAsia="Arial" w:hAnsi="Arial"/>
          <w:sz w:val="14"/>
          <w:szCs w:val="14"/>
          <w:i w:val="1"/>
          <w:iCs w:val="1"/>
          <w:color w:val="auto"/>
        </w:rPr>
        <w:t>at an effector to target ratio of 1:1 in the absence of any exogenous cytokine support for 7 days and then analyzed by flow cytometry. The iNK cell population was defined as live, CD45</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CD56</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cells.</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mediate serial killing of lymphoma cells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for characterization of their anti-tumor activity against human lymphoma xenografts. These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will determine the final choice of the iPSC clone that will be selected to generate the CNTY-101 clinical candidate.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113665</wp:posOffset>
            </wp:positionV>
            <wp:extent cx="4073525" cy="1924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735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To demonstrate the ability of our clonal CAR-iNK cells to kill lymphoma cells over multiple rounds of tumor challenge, NuclightRed labeled Nalm-6 CD19+ lymphoma cells were cocultured with iNK clones at an E:T ratio of 5:1. The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99"/>
        <w:spacing w:after="0" w:line="249" w:lineRule="auto"/>
        <w:rPr>
          <w:sz w:val="20"/>
          <w:szCs w:val="20"/>
          <w:color w:val="auto"/>
        </w:rPr>
      </w:pPr>
      <w:r>
        <w:rPr>
          <w:rFonts w:ascii="Arial" w:cs="Arial" w:eastAsia="Arial" w:hAnsi="Arial"/>
          <w:sz w:val="14"/>
          <w:szCs w:val="14"/>
          <w:i w:val="1"/>
          <w:iCs w:val="1"/>
          <w:color w:val="auto"/>
        </w:rPr>
        <w:t>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Preliminary assessment of CD19 CAR-iNK cell clone inhibition of tumor growth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133985</wp:posOffset>
            </wp:positionV>
            <wp:extent cx="3189605" cy="26657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8960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339"/>
        <w:spacing w:after="0" w:line="244" w:lineRule="auto"/>
        <w:rPr>
          <w:sz w:val="20"/>
          <w:szCs w:val="20"/>
          <w:color w:val="auto"/>
        </w:rPr>
      </w:pPr>
      <w:r>
        <w:rPr>
          <w:rFonts w:ascii="Arial" w:cs="Arial" w:eastAsia="Arial" w:hAnsi="Arial"/>
          <w:sz w:val="14"/>
          <w:szCs w:val="14"/>
          <w:i w:val="1"/>
          <w:iCs w:val="1"/>
          <w:color w:val="auto"/>
        </w:rPr>
        <w:t>The clones that performed best in the persistence and serial killing assays shown above were advanced into in vivo tumor growth inhibition studies. The CD19 expressing NALM6 lymphoma model was used in a mouse xenograft model to determine the impact of the three leading clones (as determined above) on tumor growth. Tumor was established on day zero and iNK cells derived from single-cell clones (iPSC384, iPSC387, iPSC611)or bulk engineered iNK cells (iPSC300) were administered intravenously on days 1, 8, and 15. As predicted, each of the three lines derived from single-cell clones mediated significant anti-tumor growth inhibition which was greater than CD19 CAR-iNK cells derived from the bulk culture (iPSC300).</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eliminate CD19+ B cells</w:t>
      </w:r>
    </w:p>
    <w:p>
      <w:pPr>
        <w:spacing w:after="0" w:line="131"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B Cells in Co-cultures of PBMCs with CAR-iNK Cells Derived from Single-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122555</wp:posOffset>
            </wp:positionV>
            <wp:extent cx="3420745" cy="22574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0745"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b w:val="1"/>
          <w:bCs w:val="1"/>
          <w:i w:val="1"/>
          <w:iCs w:val="1"/>
          <w:color w:val="auto"/>
        </w:rPr>
        <w:t>Elimination of normal B cells from whole PBMCs by our top candidate iNK single-cell clones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To evaluate B-cell killing activity in-vitro, CAR-iNK cells derived from six single-cell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CNTY-101 clinical development program</w:t>
      </w:r>
    </w:p>
    <w:p>
      <w:pPr>
        <w:spacing w:after="0" w:line="131" w:lineRule="exact"/>
        <w:rPr>
          <w:sz w:val="20"/>
          <w:szCs w:val="20"/>
          <w:color w:val="auto"/>
        </w:rPr>
      </w:pPr>
    </w:p>
    <w:p>
      <w:pPr>
        <w:jc w:val="both"/>
        <w:ind w:left="1240" w:right="1419"/>
        <w:spacing w:after="0" w:line="241" w:lineRule="auto"/>
        <w:rPr>
          <w:sz w:val="20"/>
          <w:szCs w:val="20"/>
          <w:color w:val="auto"/>
        </w:rPr>
      </w:pPr>
      <w:r>
        <w:rPr>
          <w:rFonts w:ascii="Arial" w:cs="Arial" w:eastAsia="Arial" w:hAnsi="Arial"/>
          <w:sz w:val="14"/>
          <w:szCs w:val="14"/>
          <w:color w:val="auto"/>
        </w:rPr>
        <w:t>We believe the successful development of CNTY-101 will enable us to establish clinical proof of concept for our CAR-iNT cell therapy and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CNTY-101 is projected to enter preclinical and technical IND-enabling studies and manufacturing this year, supporting an IND filing in the middle of 2022.</w:t>
      </w:r>
    </w:p>
    <w:p>
      <w:pPr>
        <w:spacing w:after="0" w:line="12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intend to initiate a first-in-human Phase 1 clinical study in the United States in 2022, in 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11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believe CNTY-101 may provide significant treatment advantages including (i) as a result of our ability to repeat dose, the potential to enhance objective response rates, or ORRs, and the duration of response, or DoR; (ii) 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34" w:lineRule="exact"/>
        <w:rPr>
          <w:sz w:val="20"/>
          <w:szCs w:val="20"/>
          <w:color w:val="auto"/>
        </w:rPr>
      </w:pPr>
    </w:p>
    <w:p>
      <w:pPr>
        <w:ind w:left="1240" w:right="1639"/>
        <w:spacing w:after="0" w:line="450" w:lineRule="auto"/>
        <w:rPr>
          <w:sz w:val="20"/>
          <w:szCs w:val="20"/>
          <w:color w:val="auto"/>
        </w:rPr>
      </w:pPr>
      <w:r>
        <w:rPr>
          <w:rFonts w:ascii="Arial" w:cs="Arial" w:eastAsia="Arial" w:hAnsi="Arial"/>
          <w:sz w:val="14"/>
          <w:szCs w:val="14"/>
          <w:b w:val="1"/>
          <w:bCs w:val="1"/>
          <w:i w:val="1"/>
          <w:iCs w:val="1"/>
          <w:color w:val="auto"/>
        </w:rPr>
        <w:t xml:space="preserve">CNTY-103: Our CAR iNK candidate targeting CD133 + EGFR for recurrent glioblastoma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99"/>
        <w:spacing w:after="0" w:line="244" w:lineRule="auto"/>
        <w:rPr>
          <w:sz w:val="20"/>
          <w:szCs w:val="20"/>
          <w:color w:val="auto"/>
        </w:rPr>
      </w:pPr>
      <w:r>
        <w:rPr>
          <w:rFonts w:ascii="Arial" w:cs="Arial" w:eastAsia="Arial" w:hAnsi="Arial"/>
          <w:sz w:val="14"/>
          <w:szCs w:val="14"/>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Gliadel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31"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product, engineered to express IL-15, a safety switch to allow for cell removal and 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113665</wp:posOffset>
            </wp:positionV>
            <wp:extent cx="2128520" cy="21488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2852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CAR-T cells display strong </w:t>
      </w:r>
      <w:r>
        <w:rPr>
          <w:rFonts w:ascii="Arial" w:cs="Arial" w:eastAsia="Arial" w:hAnsi="Arial"/>
          <w:sz w:val="14"/>
          <w:szCs w:val="14"/>
          <w:b w:val="1"/>
          <w:bCs w:val="1"/>
          <w:i w:val="1"/>
          <w:iCs w:val="1"/>
          <w:color w:val="auto"/>
        </w:rPr>
        <w:t>in vivo</w:t>
      </w:r>
      <w:r>
        <w:rPr>
          <w:rFonts w:ascii="Arial" w:cs="Arial" w:eastAsia="Arial" w:hAnsi="Arial"/>
          <w:sz w:val="14"/>
          <w:szCs w:val="14"/>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133985</wp:posOffset>
            </wp:positionV>
            <wp:extent cx="3434080" cy="131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34080"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color w:val="auto"/>
        </w:rPr>
        <w:t xml:space="preserve">As is depicted in the cross-sectional images presented below, results achieved in an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targeted CARs significantly reduced tumor burden in preclinical </w:t>
      </w:r>
      <w:r>
        <w:rPr>
          <w:rFonts w:ascii="Arial" w:cs="Arial" w:eastAsia="Arial" w:hAnsi="Arial"/>
          <w:sz w:val="14"/>
          <w:szCs w:val="14"/>
          <w:b w:val="1"/>
          <w:bCs w:val="1"/>
          <w:i w:val="1"/>
          <w:iCs w:val="1"/>
          <w:color w:val="auto"/>
        </w:rPr>
        <w:t>in-vivo</w:t>
      </w:r>
      <w:r>
        <w:rPr>
          <w:rFonts w:ascii="Arial" w:cs="Arial" w:eastAsia="Arial" w:hAnsi="Arial"/>
          <w:sz w:val="14"/>
          <w:szCs w:val="14"/>
          <w:b w:val="1"/>
          <w:bCs w:val="1"/>
          <w:color w:val="auto"/>
        </w:rPr>
        <w:t xml:space="preserv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Tumor shrinkage leads to increased survival, as outlined in the graph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113665</wp:posOffset>
            </wp:positionV>
            <wp:extent cx="3107690" cy="1835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7690"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i w:val="1"/>
          <w:iCs w:val="1"/>
          <w:color w:val="auto"/>
        </w:rPr>
        <w:t>Mice intracranially treated with CART133 cells have improved survival compared to mice treated with control CART cells (p = 0.0027).</w:t>
      </w:r>
    </w:p>
    <w:p>
      <w:pPr>
        <w:spacing w:after="0" w:line="95"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7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29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anticipate filing an IND and/or CTA to begin a Phase 1 clinical trial of CNTY-103 for the treatment of recurrent GBM in the first half of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25"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CAR-iNK or CAR -iT candidate targeting CD19 + CD79b for relapsed, refractory B-cell lymphoma and other B-cell malignancies</w:t>
      </w:r>
    </w:p>
    <w:p>
      <w:pPr>
        <w:spacing w:after="0" w:line="104" w:lineRule="exact"/>
        <w:rPr>
          <w:sz w:val="20"/>
          <w:szCs w:val="20"/>
          <w:color w:val="auto"/>
        </w:rPr>
      </w:pPr>
    </w:p>
    <w:p>
      <w:pPr>
        <w:ind w:left="1240" w:right="1379"/>
        <w:spacing w:after="0" w:line="252" w:lineRule="auto"/>
        <w:rPr>
          <w:sz w:val="20"/>
          <w:szCs w:val="20"/>
          <w:color w:val="auto"/>
        </w:rPr>
      </w:pPr>
      <w:r>
        <w:rPr>
          <w:rFonts w:ascii="Arial" w:cs="Arial" w:eastAsia="Arial" w:hAnsi="Arial"/>
          <w:sz w:val="14"/>
          <w:szCs w:val="14"/>
          <w:color w:val="auto"/>
        </w:rPr>
        <w:t>Our next-generation product candidate directed to treat B-cell malignancies is CNTY-102, an iPSC-derived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CAR-iNK or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120650</wp:posOffset>
            </wp:positionV>
            <wp:extent cx="2475230" cy="2196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75230"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 release syndrome). We currently envision filing an IND for CNTY-102 in the second half of 2023.</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07" w:lineRule="exact"/>
        <w:rPr>
          <w:sz w:val="20"/>
          <w:szCs w:val="20"/>
          <w:color w:val="auto"/>
        </w:rPr>
      </w:pPr>
    </w:p>
    <w:p>
      <w:pPr>
        <w:ind w:left="1240" w:right="1699"/>
        <w:spacing w:after="0" w:line="262" w:lineRule="auto"/>
        <w:rPr>
          <w:sz w:val="20"/>
          <w:szCs w:val="20"/>
          <w:color w:val="auto"/>
        </w:rPr>
      </w:pPr>
      <w:r>
        <w:rPr>
          <w:rFonts w:ascii="Arial" w:cs="Arial" w:eastAsia="Arial" w:hAnsi="Arial"/>
          <w:sz w:val="14"/>
          <w:szCs w:val="14"/>
          <w:b w:val="1"/>
          <w:bCs w:val="1"/>
          <w:i w:val="1"/>
          <w:iCs w:val="1"/>
          <w:color w:val="auto"/>
        </w:rPr>
        <w:t>CNTY-104: Our CAR-iNK or CAR-iT multi-specific candidate for the treatment of acute myeloid leukemia</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Disease background</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59"/>
        <w:spacing w:after="0" w:line="270" w:lineRule="auto"/>
        <w:rPr>
          <w:sz w:val="20"/>
          <w:szCs w:val="20"/>
          <w:color w:val="auto"/>
        </w:rPr>
      </w:pPr>
      <w:r>
        <w:rPr>
          <w:rFonts w:ascii="Arial" w:cs="Arial" w:eastAsia="Arial" w:hAnsi="Arial"/>
          <w:sz w:val="14"/>
          <w:szCs w:val="14"/>
          <w:color w:val="auto"/>
        </w:rPr>
        <w:t>remission, likely offers the only possible current chance for cure. Despite numerous clinical studies, outcomes are consistently disappointing with 5-year overall survival rates of ~ 10%.</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21" w:lineRule="exact"/>
        <w:rPr>
          <w:sz w:val="20"/>
          <w:szCs w:val="20"/>
          <w:color w:val="auto"/>
        </w:rPr>
      </w:pPr>
    </w:p>
    <w:p>
      <w:pPr>
        <w:ind w:left="1240" w:right="1419"/>
        <w:spacing w:after="0" w:line="258" w:lineRule="auto"/>
        <w:rPr>
          <w:sz w:val="20"/>
          <w:szCs w:val="20"/>
          <w:color w:val="auto"/>
        </w:rPr>
      </w:pPr>
      <w:r>
        <w:rPr>
          <w:rFonts w:ascii="Arial" w:cs="Arial" w:eastAsia="Arial" w:hAnsi="Arial"/>
          <w:sz w:val="14"/>
          <w:szCs w:val="14"/>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95885</wp:posOffset>
            </wp:positionV>
            <wp:extent cx="2502535" cy="2196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0253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pharmacokinetics and persistence, but we will evaluate both cell platforms to engineer CNTY-104. We currently envision filing an IND for CNTY-104 in mid 2024.</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0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 engineered iPSC progenitor.</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59" w:lineRule="auto"/>
        <w:rPr>
          <w:sz w:val="20"/>
          <w:szCs w:val="20"/>
          <w:color w:val="auto"/>
        </w:rPr>
      </w:pPr>
      <w:r>
        <w:rPr>
          <w:rFonts w:ascii="Arial" w:cs="Arial" w:eastAsia="Arial" w:hAnsi="Arial"/>
          <w:sz w:val="14"/>
          <w:szCs w:val="14"/>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Manufacturing</w:t>
      </w:r>
    </w:p>
    <w:p>
      <w:pPr>
        <w:spacing w:after="0" w:line="11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8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7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120650</wp:posOffset>
            </wp:positionV>
            <wp:extent cx="3916680" cy="1033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1668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26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Licensing, partnerships and collaborations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Differentiation License Agreement</w:t>
      </w:r>
    </w:p>
    <w:p>
      <w:pPr>
        <w:spacing w:after="0" w:line="13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84"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Reorganization.</w:t>
      </w:r>
    </w:p>
    <w:p>
      <w:pPr>
        <w:spacing w:after="0" w:line="288" w:lineRule="exact"/>
        <w:rPr>
          <w:sz w:val="20"/>
          <w:szCs w:val="20"/>
          <w:color w:val="auto"/>
        </w:rPr>
      </w:pPr>
    </w:p>
    <w:p>
      <w:pPr>
        <w:ind w:left="1240" w:right="1739"/>
        <w:spacing w:after="0" w:line="278" w:lineRule="auto"/>
        <w:rPr>
          <w:sz w:val="20"/>
          <w:szCs w:val="20"/>
          <w:color w:val="auto"/>
        </w:rPr>
      </w:pPr>
      <w:r>
        <w:rPr>
          <w:rFonts w:ascii="Arial" w:cs="Arial" w:eastAsia="Arial" w:hAnsi="Arial"/>
          <w:sz w:val="14"/>
          <w:szCs w:val="14"/>
          <w:color w:val="auto"/>
        </w:rPr>
        <w:t>The Differentiation License expires upon the expiration of the last-to-expire patent licensed thereunder, which is currently expected to expire in 2036. Either party may terminate the Differentiation License upon the other party’s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FCDI may also terminate the Differentiation License upon written notice in the event of termination of Reprogramming License.</w:t>
      </w:r>
    </w:p>
    <w:p>
      <w:pPr>
        <w:spacing w:after="0" w:line="100" w:lineRule="exact"/>
        <w:rPr>
          <w:sz w:val="20"/>
          <w:szCs w:val="20"/>
          <w:color w:val="auto"/>
        </w:rPr>
      </w:pPr>
    </w:p>
    <w:p>
      <w:pPr>
        <w:ind w:left="1240" w:right="2179"/>
        <w:spacing w:after="0" w:line="270" w:lineRule="auto"/>
        <w:rPr>
          <w:sz w:val="20"/>
          <w:szCs w:val="20"/>
          <w:color w:val="auto"/>
        </w:rPr>
      </w:pPr>
      <w:r>
        <w:rPr>
          <w:rFonts w:ascii="Arial" w:cs="Arial" w:eastAsia="Arial" w:hAnsi="Arial"/>
          <w:sz w:val="14"/>
          <w:szCs w:val="14"/>
          <w:color w:val="auto"/>
        </w:rPr>
        <w:t>The Differentiation License also contains customary representations and warranties, confidentiality, insurance and indemnification provisions.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Reprogramming License Agreement</w:t>
      </w:r>
    </w:p>
    <w:p>
      <w:pPr>
        <w:spacing w:after="0" w:line="131"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84"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FCDI may also terminate the Reprogramming License upon written notice in the event of termination of the Differentiation License.</w:t>
      </w:r>
    </w:p>
    <w:p>
      <w:pPr>
        <w:spacing w:after="0" w:line="108" w:lineRule="exact"/>
        <w:rPr>
          <w:sz w:val="20"/>
          <w:szCs w:val="20"/>
          <w:color w:val="auto"/>
        </w:rPr>
      </w:pPr>
    </w:p>
    <w:p>
      <w:pPr>
        <w:ind w:left="1240" w:right="2039"/>
        <w:spacing w:after="0" w:line="270" w:lineRule="auto"/>
        <w:rPr>
          <w:sz w:val="20"/>
          <w:szCs w:val="20"/>
          <w:color w:val="auto"/>
        </w:rPr>
      </w:pPr>
      <w:r>
        <w:rPr>
          <w:rFonts w:ascii="Arial" w:cs="Arial" w:eastAsia="Arial" w:hAnsi="Arial"/>
          <w:sz w:val="14"/>
          <w:szCs w:val="14"/>
          <w:color w:val="auto"/>
        </w:rPr>
        <w:t>The Reprogramming License also contains customary representations and warranties, confidentiality, insurance and indemnification provisions.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Master Collaboration Agreement</w:t>
      </w:r>
    </w:p>
    <w:p>
      <w:pPr>
        <w:spacing w:after="0" w:line="131" w:lineRule="exact"/>
        <w:rPr>
          <w:sz w:val="20"/>
          <w:szCs w:val="20"/>
          <w:color w:val="auto"/>
        </w:rPr>
      </w:pPr>
    </w:p>
    <w:p>
      <w:pPr>
        <w:ind w:left="1240" w:right="1339"/>
        <w:spacing w:after="0" w:line="255" w:lineRule="auto"/>
        <w:rPr>
          <w:sz w:val="20"/>
          <w:szCs w:val="20"/>
          <w:color w:val="auto"/>
        </w:rPr>
      </w:pPr>
      <w:r>
        <w:rPr>
          <w:rFonts w:ascii="Arial" w:cs="Arial" w:eastAsia="Arial" w:hAnsi="Arial"/>
          <w:sz w:val="14"/>
          <w:szCs w:val="14"/>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40" w:right="1559"/>
        <w:spacing w:after="0" w:line="270" w:lineRule="auto"/>
        <w:rPr>
          <w:sz w:val="20"/>
          <w:szCs w:val="20"/>
          <w:color w:val="auto"/>
        </w:rPr>
      </w:pPr>
      <w:r>
        <w:rPr>
          <w:rFonts w:ascii="Arial" w:cs="Arial" w:eastAsia="Arial" w:hAnsi="Arial"/>
          <w:sz w:val="14"/>
          <w:szCs w:val="14"/>
          <w:color w:val="auto"/>
        </w:rPr>
        <w:t>three years of the term of the Collaboration Agreement, we agreed to pay FCDI a minimum of $2.5 million per year.</w:t>
      </w:r>
    </w:p>
    <w:p>
      <w:pPr>
        <w:spacing w:after="0" w:line="88"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39"/>
        <w:spacing w:after="0" w:line="260" w:lineRule="auto"/>
        <w:rPr>
          <w:sz w:val="20"/>
          <w:szCs w:val="20"/>
          <w:color w:val="auto"/>
        </w:rPr>
      </w:pPr>
      <w:r>
        <w:rPr>
          <w:rFonts w:ascii="Arial" w:cs="Arial" w:eastAsia="Arial" w:hAnsi="Arial"/>
          <w:sz w:val="14"/>
          <w:szCs w:val="14"/>
          <w:color w:val="auto"/>
        </w:rPr>
        <w:t>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95"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06" w:lineRule="exact"/>
        <w:rPr>
          <w:sz w:val="20"/>
          <w:szCs w:val="20"/>
          <w:color w:val="auto"/>
        </w:rPr>
      </w:pPr>
    </w:p>
    <w:p>
      <w:pPr>
        <w:ind w:left="1240" w:right="1999"/>
        <w:spacing w:after="0" w:line="270" w:lineRule="auto"/>
        <w:rPr>
          <w:sz w:val="20"/>
          <w:szCs w:val="20"/>
          <w:color w:val="auto"/>
        </w:rPr>
      </w:pPr>
      <w:r>
        <w:rPr>
          <w:rFonts w:ascii="Arial" w:cs="Arial" w:eastAsia="Arial" w:hAnsi="Arial"/>
          <w:sz w:val="14"/>
          <w:szCs w:val="14"/>
          <w:color w:val="auto"/>
        </w:rPr>
        <w:t>The Collaboration Agreement also contains customary representations and warranties, confidentiality and indemnification provisions.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Manufacturing and Supply Agreement</w:t>
      </w:r>
    </w:p>
    <w:p>
      <w:pPr>
        <w:spacing w:after="0" w:line="13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68"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HealthCare LLC</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Option Agreement</w:t>
      </w:r>
    </w:p>
    <w:p>
      <w:pPr>
        <w:spacing w:after="0" w:line="131"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84"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79" w:lineRule="exact"/>
        <w:rPr>
          <w:sz w:val="20"/>
          <w:szCs w:val="20"/>
          <w:color w:val="auto"/>
        </w:rPr>
      </w:pPr>
    </w:p>
    <w:p>
      <w:pPr>
        <w:ind w:left="1240" w:right="1499"/>
        <w:spacing w:after="0" w:line="281" w:lineRule="auto"/>
        <w:rPr>
          <w:sz w:val="20"/>
          <w:szCs w:val="20"/>
          <w:color w:val="auto"/>
        </w:rPr>
      </w:pPr>
      <w:r>
        <w:rPr>
          <w:rFonts w:ascii="Arial" w:cs="Arial" w:eastAsia="Arial" w:hAnsi="Arial"/>
          <w:sz w:val="14"/>
          <w:szCs w:val="14"/>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79"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University of Toronto and McMaster University</w:t>
      </w:r>
    </w:p>
    <w:p>
      <w:pPr>
        <w:spacing w:after="0" w:line="14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479"/>
        <w:spacing w:after="0" w:line="263" w:lineRule="auto"/>
        <w:rPr>
          <w:sz w:val="20"/>
          <w:szCs w:val="20"/>
          <w:color w:val="auto"/>
        </w:rPr>
      </w:pPr>
      <w:r>
        <w:rPr>
          <w:rFonts w:ascii="Arial" w:cs="Arial" w:eastAsia="Arial" w:hAnsi="Arial"/>
          <w:sz w:val="14"/>
          <w:szCs w:val="14"/>
          <w:color w:val="auto"/>
        </w:rPr>
        <w:t>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92"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06"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Inscripta</w:t>
      </w:r>
    </w:p>
    <w:p>
      <w:pPr>
        <w:spacing w:after="0" w:line="13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Intellectual property</w:t>
      </w:r>
    </w:p>
    <w:p>
      <w:pPr>
        <w:spacing w:after="0" w:line="11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77"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100"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9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17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1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97" w:lineRule="exact"/>
        <w:rPr>
          <w:sz w:val="20"/>
          <w:szCs w:val="20"/>
          <w:color w:val="auto"/>
        </w:rPr>
      </w:pPr>
    </w:p>
    <w:p>
      <w:pPr>
        <w:jc w:val="both"/>
        <w:ind w:left="1240" w:right="1479"/>
        <w:spacing w:after="0" w:line="278" w:lineRule="auto"/>
        <w:rPr>
          <w:sz w:val="20"/>
          <w:szCs w:val="20"/>
          <w:color w:val="auto"/>
        </w:rPr>
      </w:pPr>
      <w:r>
        <w:rPr>
          <w:rFonts w:ascii="Arial" w:cs="Arial" w:eastAsia="Arial" w:hAnsi="Arial"/>
          <w:sz w:val="14"/>
          <w:szCs w:val="14"/>
          <w:color w:val="auto"/>
        </w:rPr>
        <w:t>We will file U.S. non-provisional applications and PCT applications that claim the benefit of the priority date of earlier filed provisional applications, when applicable. The PCT system allows a single application to be filed within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7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1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27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iPSC technology</w:t>
      </w:r>
    </w:p>
    <w:p>
      <w:pPr>
        <w:spacing w:after="0" w:line="12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85"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06"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genetic engineering</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08"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the differentiation of hematopoietic cells</w:t>
      </w:r>
    </w:p>
    <w:p>
      <w:pPr>
        <w:spacing w:after="0" w:line="131"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have licensed from FCDI a portfolio of six patent families regarding methods of differentiating iPSC cells including issued patents and pending patent applications broadly applicable to the differentiation of iPSC cells,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iPSCs and derivative cells</w:t>
      </w:r>
    </w:p>
    <w:p>
      <w:pPr>
        <w:spacing w:after="0" w:line="12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Currently, we own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Any U.S. patents that may issue from such pending provisional patent applications would expire in 2040 or 2041, without giving effect to any patent term adjustment or extension.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T cells</w:t>
      </w:r>
    </w:p>
    <w:p>
      <w:pPr>
        <w:spacing w:after="0" w:line="13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Competition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biotechnology and pharmaceutical industries have made substantial investments in</w:t>
      </w:r>
    </w:p>
    <w:p>
      <w:pPr>
        <w:spacing w:after="0" w:line="10"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recent years into the rapid development of novel immunotherapies for the treatment of a range of pathologies, including infectious diseases and cancers, making this a highly competitive market.</w:t>
      </w:r>
    </w:p>
    <w:p>
      <w:pPr>
        <w:spacing w:after="0" w:line="88"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114"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06"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Large pharmaceutical companies that have commercialized or are developing immunotherapies to treat cancer include AstraZeneca, Bristol Myers Squibb, Gilead Sciences, Merck, Novartis, Pfizer, and Roche/Genentech.</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Companies that compete with us directly on the level of the development of product candidates targeting B-cell lymphomas include Gilead Sciences, Novartis and Bristol Myers Squibb, among others. Companies developing therapeutic candidates to treat glioblastomas include Arbor Pharmaceuticals and Genentech.</w:t>
      </w:r>
    </w:p>
    <w:p>
      <w:pPr>
        <w:spacing w:after="0" w:line="95" w:lineRule="exact"/>
        <w:rPr>
          <w:sz w:val="20"/>
          <w:szCs w:val="20"/>
          <w:color w:val="auto"/>
        </w:rPr>
      </w:pPr>
    </w:p>
    <w:p>
      <w:pPr>
        <w:ind w:left="1240" w:right="1479"/>
        <w:spacing w:after="0" w:line="263" w:lineRule="auto"/>
        <w:rPr>
          <w:sz w:val="20"/>
          <w:szCs w:val="20"/>
          <w:color w:val="auto"/>
        </w:rPr>
      </w:pPr>
      <w:r>
        <w:rPr>
          <w:rFonts w:ascii="Arial" w:cs="Arial" w:eastAsia="Arial" w:hAnsi="Arial"/>
          <w:sz w:val="14"/>
          <w:szCs w:val="14"/>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10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80"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Government regulation</w:t>
      </w:r>
    </w:p>
    <w:p>
      <w:pPr>
        <w:spacing w:after="0" w:line="118"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development process</w:t>
      </w:r>
    </w:p>
    <w:p>
      <w:pPr>
        <w:spacing w:after="0" w:line="133" w:lineRule="exact"/>
        <w:rPr>
          <w:sz w:val="20"/>
          <w:szCs w:val="20"/>
          <w:color w:val="auto"/>
        </w:rPr>
      </w:pPr>
    </w:p>
    <w:p>
      <w:pPr>
        <w:ind w:left="1240" w:right="1299"/>
        <w:spacing w:after="0" w:line="270" w:lineRule="auto"/>
        <w:rPr>
          <w:sz w:val="20"/>
          <w:szCs w:val="20"/>
          <w:color w:val="auto"/>
        </w:rPr>
      </w:pPr>
      <w:r>
        <w:rPr>
          <w:rFonts w:ascii="Arial" w:cs="Arial" w:eastAsia="Arial" w:hAnsi="Arial"/>
          <w:sz w:val="14"/>
          <w:szCs w:val="14"/>
          <w:color w:val="auto"/>
        </w:rPr>
        <w:t>The process required by the FDA before a biologic product may be marketed in the United States generally involves the following:</w:t>
      </w:r>
    </w:p>
    <w:p>
      <w:pPr>
        <w:spacing w:after="0" w:line="77" w:lineRule="exact"/>
        <w:rPr>
          <w:sz w:val="20"/>
          <w:szCs w:val="20"/>
          <w:color w:val="auto"/>
        </w:rPr>
      </w:pPr>
    </w:p>
    <w:p>
      <w:pPr>
        <w:ind w:left="1620" w:right="1359" w:hanging="114"/>
        <w:spacing w:after="0" w:line="278"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completion of nonclinical laboratory tests and animal studies according to Good Laboratory Practices, or cGLP, and applicable requirements for the humane use of laboratory animals or other applicable regulations;</w:t>
      </w:r>
    </w:p>
    <w:p>
      <w:pPr>
        <w:spacing w:after="0" w:line="61" w:lineRule="exact"/>
        <w:rPr>
          <w:rFonts w:ascii="Arial" w:cs="Arial" w:eastAsia="Arial" w:hAnsi="Arial"/>
          <w:sz w:val="14"/>
          <w:szCs w:val="14"/>
          <w:color w:val="auto"/>
        </w:rPr>
      </w:pPr>
    </w:p>
    <w:p>
      <w:pPr>
        <w:ind w:left="1620" w:hanging="114"/>
        <w:spacing w:after="0"/>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preparation of clinical trial material in accordance with cGMP;</w:t>
      </w:r>
    </w:p>
    <w:p>
      <w:pPr>
        <w:spacing w:after="0" w:line="106" w:lineRule="exact"/>
        <w:rPr>
          <w:rFonts w:ascii="Arial" w:cs="Arial" w:eastAsia="Arial" w:hAnsi="Arial"/>
          <w:sz w:val="14"/>
          <w:szCs w:val="14"/>
          <w:color w:val="auto"/>
        </w:rPr>
      </w:pPr>
    </w:p>
    <w:p>
      <w:pPr>
        <w:ind w:left="1620" w:right="1539" w:hanging="114"/>
        <w:spacing w:after="0" w:line="286"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submission to the FDA of an application for an IND, which must become effective before human clinical trials may begin;</w:t>
      </w:r>
    </w:p>
    <w:p>
      <w:pPr>
        <w:spacing w:after="0" w:line="66" w:lineRule="exact"/>
        <w:rPr>
          <w:rFonts w:ascii="Arial" w:cs="Arial" w:eastAsia="Arial" w:hAnsi="Arial"/>
          <w:sz w:val="14"/>
          <w:szCs w:val="14"/>
          <w:color w:val="auto"/>
        </w:rPr>
      </w:pPr>
    </w:p>
    <w:p>
      <w:pPr>
        <w:ind w:left="1620" w:right="1499" w:hanging="114"/>
        <w:spacing w:after="0" w:line="286"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approval by an institutional review board, or IRB, reviewing each clinical site before each clinical trial may be initiated;</w:t>
      </w:r>
    </w:p>
    <w:p>
      <w:pPr>
        <w:spacing w:after="0" w:line="66" w:lineRule="exact"/>
        <w:rPr>
          <w:rFonts w:ascii="Arial" w:cs="Arial" w:eastAsia="Arial" w:hAnsi="Arial"/>
          <w:sz w:val="14"/>
          <w:szCs w:val="14"/>
          <w:color w:val="auto"/>
        </w:rPr>
      </w:pPr>
    </w:p>
    <w:p>
      <w:pPr>
        <w:ind w:left="1620" w:right="1619" w:hanging="114"/>
        <w:spacing w:after="0" w:line="276"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right="1479" w:hanging="114"/>
        <w:spacing w:after="0" w:line="278"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submission to the FDA of a Biologics License Application, or BLA, for marketing approval that includes substantive evidence of safety, purity, potency, and efficacy from results of nonclinical testing and clinical trials;</w:t>
      </w:r>
    </w:p>
    <w:p>
      <w:pPr>
        <w:spacing w:after="0" w:line="61" w:lineRule="exact"/>
        <w:rPr>
          <w:rFonts w:ascii="Arial" w:cs="Arial" w:eastAsia="Arial" w:hAnsi="Arial"/>
          <w:sz w:val="14"/>
          <w:szCs w:val="14"/>
          <w:color w:val="auto"/>
        </w:rPr>
      </w:pPr>
    </w:p>
    <w:p>
      <w:pPr>
        <w:ind w:left="1620" w:right="1319" w:hanging="114"/>
        <w:spacing w:after="0" w:line="27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73" w:lineRule="exact"/>
        <w:rPr>
          <w:rFonts w:ascii="Arial" w:cs="Arial" w:eastAsia="Arial" w:hAnsi="Arial"/>
          <w:sz w:val="14"/>
          <w:szCs w:val="14"/>
          <w:color w:val="auto"/>
        </w:rPr>
      </w:pPr>
    </w:p>
    <w:p>
      <w:pPr>
        <w:ind w:left="1620" w:right="163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potential FDA audit of the nonclinical and clinical study sites that generated the data in support of the BLA;</w:t>
      </w:r>
    </w:p>
    <w:p>
      <w:pPr>
        <w:spacing w:after="0" w:line="66" w:lineRule="exact"/>
        <w:rPr>
          <w:rFonts w:ascii="Arial" w:cs="Arial" w:eastAsia="Arial" w:hAnsi="Arial"/>
          <w:sz w:val="14"/>
          <w:szCs w:val="14"/>
          <w:color w:val="auto"/>
        </w:rPr>
      </w:pPr>
    </w:p>
    <w:p>
      <w:pPr>
        <w:ind w:left="1620" w:right="173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potential FDA Advisory Committee meeting to elicit expert input on critical issues and including a vote by external committee members;</w:t>
      </w:r>
    </w:p>
    <w:p>
      <w:pPr>
        <w:spacing w:after="0" w:line="66" w:lineRule="exact"/>
        <w:rPr>
          <w:rFonts w:ascii="Arial" w:cs="Arial" w:eastAsia="Arial" w:hAnsi="Arial"/>
          <w:sz w:val="14"/>
          <w:szCs w:val="14"/>
          <w:color w:val="auto"/>
        </w:rPr>
      </w:pPr>
    </w:p>
    <w:p>
      <w:pPr>
        <w:ind w:left="1620" w:right="1479" w:hanging="114"/>
        <w:spacing w:after="0" w:line="286"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FDA review and approval, or licensure, of the BLA, and payment of associated user fees, when applicable; and</w:t>
      </w:r>
    </w:p>
    <w:p>
      <w:pPr>
        <w:spacing w:after="0" w:line="55" w:lineRule="exact"/>
        <w:rPr>
          <w:rFonts w:ascii="Arial" w:cs="Arial" w:eastAsia="Arial" w:hAnsi="Arial"/>
          <w:sz w:val="14"/>
          <w:szCs w:val="14"/>
          <w:color w:val="auto"/>
        </w:rPr>
      </w:pPr>
    </w:p>
    <w:p>
      <w:pPr>
        <w:ind w:left="1620" w:right="1619" w:hanging="114"/>
        <w:spacing w:after="0" w:line="278"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post-approval studies.</w:t>
      </w:r>
    </w:p>
    <w:p>
      <w:pPr>
        <w:spacing w:after="0" w:line="94" w:lineRule="exact"/>
        <w:rPr>
          <w:sz w:val="20"/>
          <w:szCs w:val="20"/>
          <w:color w:val="auto"/>
        </w:rPr>
      </w:pPr>
    </w:p>
    <w:p>
      <w:pPr>
        <w:ind w:left="1240" w:right="1459"/>
        <w:spacing w:after="0" w:line="259" w:lineRule="auto"/>
        <w:rPr>
          <w:sz w:val="20"/>
          <w:szCs w:val="20"/>
          <w:color w:val="auto"/>
        </w:rPr>
      </w:pPr>
      <w:r>
        <w:rPr>
          <w:rFonts w:ascii="Arial" w:cs="Arial" w:eastAsia="Arial" w:hAnsi="Arial"/>
          <w:sz w:val="14"/>
          <w:szCs w:val="14"/>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06"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74"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00" w:lineRule="exact"/>
        <w:rPr>
          <w:sz w:val="20"/>
          <w:szCs w:val="20"/>
          <w:color w:val="auto"/>
        </w:rPr>
      </w:pPr>
    </w:p>
    <w:p>
      <w:pPr>
        <w:spacing w:after="0" w:line="264"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20" w:right="1679" w:hanging="114"/>
        <w:spacing w:after="0" w:line="290"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1</w:t>
      </w:r>
      <w:r>
        <w:rPr>
          <w:rFonts w:ascii="Arial" w:cs="Arial" w:eastAsia="Arial" w:hAnsi="Arial"/>
          <w:sz w:val="14"/>
          <w:szCs w:val="14"/>
          <w:color w:val="auto"/>
        </w:rPr>
        <w:t>. The biologic product is initially introduced into healthy human subjects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tested for safety. In the case of some products for rare and severe diseases, the initial human testing is often conducted in patients.</w:t>
      </w:r>
    </w:p>
    <w:p>
      <w:pPr>
        <w:spacing w:after="0" w:line="48" w:lineRule="exact"/>
        <w:rPr>
          <w:rFonts w:ascii="Arial" w:cs="Arial" w:eastAsia="Arial" w:hAnsi="Arial"/>
          <w:sz w:val="14"/>
          <w:szCs w:val="14"/>
          <w:color w:val="auto"/>
        </w:rPr>
      </w:pPr>
    </w:p>
    <w:p>
      <w:pPr>
        <w:ind w:left="1620" w:right="1439" w:hanging="114"/>
        <w:spacing w:after="0" w:line="289"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2</w:t>
      </w:r>
      <w:r>
        <w:rPr>
          <w:rFonts w:ascii="Arial" w:cs="Arial" w:eastAsia="Arial" w:hAnsi="Arial"/>
          <w:sz w:val="14"/>
          <w:szCs w:val="14"/>
          <w:color w:val="auto"/>
        </w:rPr>
        <w:t>. The biologic product is evaluated in a limited patient population to identify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possible adverse effects and safety risks, to preliminarily evaluate the efficacy of the product for specific targeted diseases and to determine dosage tolerance, optimal dosage and dosing schedule.</w:t>
      </w:r>
    </w:p>
    <w:p>
      <w:pPr>
        <w:spacing w:after="0" w:line="232" w:lineRule="exact"/>
        <w:rPr>
          <w:rFonts w:ascii="Arial" w:cs="Arial" w:eastAsia="Arial" w:hAnsi="Arial"/>
          <w:sz w:val="14"/>
          <w:szCs w:val="14"/>
          <w:color w:val="auto"/>
        </w:rPr>
      </w:pPr>
    </w:p>
    <w:p>
      <w:pPr>
        <w:ind w:left="1620" w:right="1259" w:hanging="114"/>
        <w:spacing w:after="0" w:line="279" w:lineRule="auto"/>
        <w:tabs>
          <w:tab w:leader="none" w:pos="1620"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Phase 3</w:t>
      </w:r>
      <w:r>
        <w:rPr>
          <w:rFonts w:ascii="Arial" w:cs="Arial" w:eastAsia="Arial" w:hAnsi="Arial"/>
          <w:sz w:val="14"/>
          <w:szCs w:val="14"/>
          <w:color w:val="auto"/>
        </w:rPr>
        <w:t>. Clinical trials are undertaken to further evaluate dosage, clinical efficacy, potency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03" w:lineRule="exact"/>
        <w:rPr>
          <w:sz w:val="20"/>
          <w:szCs w:val="20"/>
          <w:color w:val="auto"/>
        </w:rPr>
      </w:pPr>
    </w:p>
    <w:p>
      <w:pPr>
        <w:jc w:val="both"/>
        <w:ind w:left="1240" w:right="1459"/>
        <w:spacing w:after="0" w:line="281" w:lineRule="auto"/>
        <w:rPr>
          <w:sz w:val="20"/>
          <w:szCs w:val="20"/>
          <w:color w:val="auto"/>
        </w:rPr>
      </w:pPr>
      <w:r>
        <w:rPr>
          <w:rFonts w:ascii="Arial" w:cs="Arial" w:eastAsia="Arial" w:hAnsi="Arial"/>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70"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9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9"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77" w:lineRule="exact"/>
        <w:rPr>
          <w:sz w:val="20"/>
          <w:szCs w:val="20"/>
          <w:color w:val="auto"/>
        </w:rPr>
      </w:pPr>
    </w:p>
    <w:p>
      <w:pPr>
        <w:ind w:left="1240" w:right="1259"/>
        <w:spacing w:after="0" w:line="291" w:lineRule="auto"/>
        <w:rPr>
          <w:sz w:val="20"/>
          <w:szCs w:val="20"/>
          <w:color w:val="auto"/>
        </w:rPr>
      </w:pPr>
      <w:r>
        <w:rPr>
          <w:rFonts w:ascii="Arial" w:cs="Arial" w:eastAsia="Arial" w:hAnsi="Arial"/>
          <w:sz w:val="14"/>
          <w:szCs w:val="14"/>
          <w:color w:val="auto"/>
        </w:rPr>
        <w:t>Information about certain clinical trials must be submitted within specific timeframes to the NIH for public dissemination on its clinicaltrials.gov website. Sponsors or distributors of investigational products for the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91" w:lineRule="auto"/>
        <w:rPr>
          <w:sz w:val="20"/>
          <w:szCs w:val="20"/>
          <w:color w:val="auto"/>
        </w:rPr>
      </w:pPr>
      <w:r>
        <w:rPr>
          <w:rFonts w:ascii="Arial" w:cs="Arial" w:eastAsia="Arial" w:hAnsi="Arial"/>
          <w:sz w:val="14"/>
          <w:szCs w:val="14"/>
          <w:color w:val="auto"/>
        </w:rPr>
        <w:t>diagnosis, monitoring, or treatment of one or more serious diseases or conditions must also have a publicly available policy on evaluating and responding to requests for expanded access requests.</w:t>
      </w:r>
    </w:p>
    <w:p>
      <w:pPr>
        <w:spacing w:after="0" w:line="29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review and approval processes</w:t>
      </w:r>
    </w:p>
    <w:p>
      <w:pPr>
        <w:spacing w:after="0" w:line="133"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8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10"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81"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10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place the application in a condition for approval. If a complete response letter is issued, the applicant may either resubmit the BLA, addressing all of the deficiencies identified in the letter, or withdraw the application.</w:t>
      </w:r>
    </w:p>
    <w:p>
      <w:pPr>
        <w:spacing w:after="0" w:line="9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post-approval requirements</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00"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89"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95" w:lineRule="exact"/>
        <w:rPr>
          <w:sz w:val="20"/>
          <w:szCs w:val="20"/>
          <w:color w:val="auto"/>
        </w:rPr>
      </w:pPr>
    </w:p>
    <w:p>
      <w:pPr>
        <w:ind w:left="1240" w:right="1559"/>
        <w:spacing w:after="0" w:line="276" w:lineRule="auto"/>
        <w:rPr>
          <w:sz w:val="20"/>
          <w:szCs w:val="20"/>
          <w:color w:val="auto"/>
        </w:rPr>
      </w:pPr>
      <w:r>
        <w:rPr>
          <w:rFonts w:ascii="Arial" w:cs="Arial" w:eastAsia="Arial" w:hAnsi="Arial"/>
          <w:sz w:val="14"/>
          <w:szCs w:val="14"/>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77"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08" w:lineRule="exact"/>
        <w:rPr>
          <w:sz w:val="20"/>
          <w:szCs w:val="20"/>
          <w:color w:val="auto"/>
        </w:rPr>
      </w:pPr>
    </w:p>
    <w:p>
      <w:pPr>
        <w:jc w:val="both"/>
        <w:ind w:left="1240" w:right="1339"/>
        <w:spacing w:after="0" w:line="275" w:lineRule="auto"/>
        <w:rPr>
          <w:sz w:val="20"/>
          <w:szCs w:val="20"/>
          <w:color w:val="auto"/>
        </w:rPr>
      </w:pPr>
      <w:r>
        <w:rPr>
          <w:rFonts w:ascii="Arial" w:cs="Arial" w:eastAsia="Arial" w:hAnsi="Arial"/>
          <w:sz w:val="14"/>
          <w:szCs w:val="14"/>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95"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Expedited review and approval programs</w:t>
      </w:r>
    </w:p>
    <w:p>
      <w:pPr>
        <w:spacing w:after="0" w:line="144" w:lineRule="exact"/>
        <w:rPr>
          <w:sz w:val="20"/>
          <w:szCs w:val="20"/>
          <w:color w:val="auto"/>
        </w:rPr>
      </w:pPr>
    </w:p>
    <w:p>
      <w:pPr>
        <w:jc w:val="both"/>
        <w:ind w:left="1240" w:right="1599"/>
        <w:spacing w:after="0" w:line="278"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that are intended to expedite or simplify the process for the development and</w:t>
      </w:r>
    </w:p>
    <w:p>
      <w:pPr>
        <w:spacing w:after="0" w:line="105"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FDA review of biological products that are intended for the treatment of serious or life-threatening diseases or conditions and demonstrate the potential to address unmet medical needs. The purpose of these programs is to</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28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93"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89"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Biologics Price Competition and Innovation Act</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 xml:space="preserve">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Regulation outside of the United States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0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To obtain regulatory approval of an orphan drug under the European Union regulatory system, we are mandated to submit a Marketing Authorization Application, or MAA,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00" w:lineRule="exact"/>
        <w:rPr>
          <w:sz w:val="20"/>
          <w:szCs w:val="20"/>
          <w:color w:val="auto"/>
        </w:rPr>
      </w:pPr>
    </w:p>
    <w:p>
      <w:pPr>
        <w:spacing w:after="0" w:line="25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10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8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11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28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97"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8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0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274" w:lineRule="exact"/>
        <w:rPr>
          <w:sz w:val="20"/>
          <w:szCs w:val="20"/>
          <w:color w:val="auto"/>
        </w:rPr>
      </w:pPr>
    </w:p>
    <w:p>
      <w:pPr>
        <w:ind w:left="1240" w:right="1519"/>
        <w:spacing w:after="0" w:line="259"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will automatically be converted (grandfathered) into United Kingdom MAs free-of-charge on January 1, 2021.</w:t>
      </w:r>
    </w:p>
    <w:p>
      <w:pPr>
        <w:spacing w:after="0" w:line="106"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28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Healthcare laws and regulations</w:t>
      </w:r>
    </w:p>
    <w:p>
      <w:pPr>
        <w:spacing w:after="0" w:line="112"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right="1379" w:hanging="114"/>
        <w:spacing w:after="0" w:line="274"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64" w:lineRule="exact"/>
        <w:rPr>
          <w:rFonts w:ascii="Arial" w:cs="Arial" w:eastAsia="Arial" w:hAnsi="Arial"/>
          <w:sz w:val="14"/>
          <w:szCs w:val="14"/>
          <w:color w:val="auto"/>
        </w:rPr>
      </w:pPr>
    </w:p>
    <w:p>
      <w:pPr>
        <w:ind w:left="1620" w:right="1299" w:hanging="114"/>
        <w:spacing w:after="0" w:line="277"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52"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3" w:lineRule="exact"/>
        <w:rPr>
          <w:rFonts w:ascii="Arial" w:cs="Arial" w:eastAsia="Arial" w:hAnsi="Arial"/>
          <w:sz w:val="14"/>
          <w:szCs w:val="14"/>
          <w:color w:val="auto"/>
        </w:rPr>
      </w:pPr>
    </w:p>
    <w:p>
      <w:pPr>
        <w:ind w:left="1620" w:right="1319" w:hanging="114"/>
        <w:spacing w:after="0" w:line="291"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their implementing regulations, impose obligations on certain types of individuals and</w:t>
      </w:r>
    </w:p>
    <w:p>
      <w:pPr>
        <w:spacing w:after="0" w:line="241" w:lineRule="exact"/>
        <w:rPr>
          <w:rFonts w:ascii="Arial" w:cs="Arial" w:eastAsia="Arial" w:hAnsi="Arial"/>
          <w:sz w:val="14"/>
          <w:szCs w:val="14"/>
          <w:color w:val="auto"/>
        </w:rPr>
      </w:pPr>
    </w:p>
    <w:p>
      <w:pPr>
        <w:ind w:left="1620" w:right="1839" w:hanging="114"/>
        <w:spacing w:after="0" w:line="278"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entities regarding the electronic exchange of information in common healthcare transactions, as well as standards relating to the privacy and security of individually identifiable health information;</w:t>
      </w:r>
    </w:p>
    <w:p>
      <w:pPr>
        <w:spacing w:after="0" w:line="61" w:lineRule="exact"/>
        <w:rPr>
          <w:rFonts w:ascii="Arial" w:cs="Arial" w:eastAsia="Arial" w:hAnsi="Arial"/>
          <w:sz w:val="14"/>
          <w:szCs w:val="14"/>
          <w:color w:val="auto"/>
        </w:rPr>
      </w:pPr>
    </w:p>
    <w:p>
      <w:pPr>
        <w:ind w:left="1620" w:right="1319" w:hanging="114"/>
        <w:spacing w:after="0" w:line="274"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57"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9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Healthcare Reform</w:t>
      </w:r>
    </w:p>
    <w:p>
      <w:pPr>
        <w:spacing w:after="0" w:line="121" w:lineRule="exact"/>
        <w:rPr>
          <w:sz w:val="20"/>
          <w:szCs w:val="20"/>
          <w:color w:val="auto"/>
        </w:rPr>
      </w:pPr>
    </w:p>
    <w:p>
      <w:pPr>
        <w:ind w:left="1240" w:right="1399"/>
        <w:spacing w:after="0" w:line="257"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95" w:lineRule="exact"/>
        <w:rPr>
          <w:sz w:val="20"/>
          <w:szCs w:val="20"/>
          <w:color w:val="auto"/>
        </w:rPr>
      </w:pPr>
    </w:p>
    <w:p>
      <w:pPr>
        <w:ind w:left="1240" w:right="1359"/>
        <w:spacing w:after="0" w:line="256"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0" w:lineRule="exact"/>
        <w:rPr>
          <w:sz w:val="20"/>
          <w:szCs w:val="20"/>
          <w:color w:val="auto"/>
        </w:rPr>
      </w:pPr>
    </w:p>
    <w:p>
      <w:pPr>
        <w:spacing w:after="0" w:line="25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84"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100"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2" w:lineRule="exact"/>
        <w:rPr>
          <w:sz w:val="20"/>
          <w:szCs w:val="20"/>
          <w:color w:val="auto"/>
        </w:rPr>
      </w:pPr>
    </w:p>
    <w:p>
      <w:pPr>
        <w:ind w:left="1240" w:right="1299" w:firstLine="9"/>
        <w:spacing w:after="0" w:line="286" w:lineRule="auto"/>
        <w:tabs>
          <w:tab w:leader="none" w:pos="1449"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percent to 70 percent the point-of-sale discount that is owed by pharmaceutical manufacturers who participate in Medicare Part D.</w:t>
      </w:r>
    </w:p>
    <w:p>
      <w:pPr>
        <w:spacing w:after="0" w:line="9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93"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5" w:lineRule="exact"/>
        <w:rPr>
          <w:sz w:val="20"/>
          <w:szCs w:val="20"/>
          <w:color w:val="auto"/>
        </w:rPr>
      </w:pPr>
    </w:p>
    <w:p>
      <w:pPr>
        <w:jc w:val="both"/>
        <w:ind w:left="1240" w:right="1339"/>
        <w:spacing w:after="0" w:line="276" w:lineRule="auto"/>
        <w:rPr>
          <w:sz w:val="20"/>
          <w:szCs w:val="20"/>
          <w:color w:val="auto"/>
        </w:rPr>
      </w:pPr>
      <w:r>
        <w:rPr>
          <w:rFonts w:ascii="Arial" w:cs="Arial" w:eastAsia="Arial" w:hAnsi="Arial"/>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Human capital resources</w:t>
      </w:r>
    </w:p>
    <w:p>
      <w:pPr>
        <w:spacing w:after="0" w:line="140"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As of April 30, 2021, we had 97 full-time employees and ten part-time employees. Of our 107 full and part-time employees, 47 have Ph.D. or M.D. degrees and 69 are engaged in research and development activities. We consider our relationship with our employees to be good.</w:t>
      </w:r>
    </w:p>
    <w:p>
      <w:pPr>
        <w:spacing w:after="0" w:line="105"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Facilities</w:t>
      </w:r>
    </w:p>
    <w:p>
      <w:pPr>
        <w:spacing w:after="0" w:line="129"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Legal proceedings</w:t>
      </w:r>
    </w:p>
    <w:p>
      <w:pPr>
        <w:spacing w:after="0" w:line="140" w:lineRule="exact"/>
        <w:rPr>
          <w:sz w:val="20"/>
          <w:szCs w:val="20"/>
          <w:color w:val="auto"/>
        </w:rPr>
      </w:pPr>
    </w:p>
    <w:p>
      <w:pPr>
        <w:jc w:val="both"/>
        <w:ind w:left="1240" w:right="1799"/>
        <w:spacing w:after="0" w:line="278" w:lineRule="auto"/>
        <w:rPr>
          <w:sz w:val="20"/>
          <w:szCs w:val="20"/>
          <w:color w:val="auto"/>
        </w:rPr>
      </w:pPr>
      <w:r>
        <w:rPr>
          <w:rFonts w:ascii="Arial" w:cs="Arial" w:eastAsia="Arial" w:hAnsi="Arial"/>
          <w:sz w:val="14"/>
          <w:szCs w:val="14"/>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Management</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ind w:left="389"/>
              <w:spacing w:after="0"/>
              <w:rPr>
                <w:sz w:val="20"/>
                <w:szCs w:val="20"/>
                <w:color w:val="auto"/>
              </w:rPr>
            </w:pPr>
            <w:r>
              <w:rPr>
                <w:rFonts w:ascii="Arial" w:cs="Arial" w:eastAsia="Arial" w:hAnsi="Arial"/>
                <w:sz w:val="13"/>
                <w:szCs w:val="13"/>
                <w:b w:val="1"/>
                <w:bCs w:val="1"/>
                <w:color w:val="auto"/>
                <w:w w:val="97"/>
              </w:rPr>
              <w:t>Age</w:t>
            </w:r>
          </w:p>
        </w:tc>
        <w:tc>
          <w:tcPr>
            <w:tcW w:w="3180" w:type="dxa"/>
            <w:vAlign w:val="bottom"/>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3"/>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Osvaldo Flores, Ph.D.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58</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Luis Borges,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Scientific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Adrienne Farid,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Operations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Hyam Levitsky,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63</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of Research and Development</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Gregory Russotti,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Technology Officer</w:t>
            </w: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4"/>
                <w:szCs w:val="14"/>
                <w:b w:val="1"/>
                <w:bCs w:val="1"/>
                <w:color w:val="auto"/>
              </w:rPr>
              <w:t>Non-Employee Directors</w:t>
            </w:r>
          </w:p>
        </w:tc>
        <w:tc>
          <w:tcPr>
            <w:tcW w:w="8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460" w:type="dxa"/>
            <w:vAlign w:val="bottom"/>
            <w:shd w:val="clear" w:color="auto" w:fill="CCEEFF"/>
          </w:tcPr>
          <w:p>
            <w:pPr>
              <w:spacing w:after="0" w:line="229" w:lineRule="exact"/>
              <w:rPr>
                <w:sz w:val="20"/>
                <w:szCs w:val="20"/>
                <w:color w:val="auto"/>
              </w:rPr>
            </w:pPr>
            <w:r>
              <w:rPr>
                <w:rFonts w:ascii="Arial" w:cs="Arial" w:eastAsia="Arial" w:hAnsi="Arial"/>
                <w:sz w:val="14"/>
                <w:szCs w:val="14"/>
                <w:color w:val="auto"/>
              </w:rPr>
              <w:t>Toshikazu Ban</w:t>
            </w:r>
            <w:r>
              <w:rPr>
                <w:rFonts w:ascii="Arial" w:cs="Arial" w:eastAsia="Arial" w:hAnsi="Arial"/>
                <w:sz w:val="21"/>
                <w:szCs w:val="21"/>
                <w:color w:val="auto"/>
                <w:vertAlign w:val="superscript"/>
              </w:rPr>
              <w:t>(4)</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Kimberly Blackwell, M.D.</w:t>
            </w:r>
            <w:r>
              <w:rPr>
                <w:rFonts w:ascii="Arial" w:cs="Arial" w:eastAsia="Arial" w:hAnsi="Arial"/>
                <w:sz w:val="21"/>
                <w:szCs w:val="21"/>
                <w:color w:val="auto"/>
                <w:vertAlign w:val="superscript"/>
              </w:rPr>
              <w:t>(1)(3)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(1)(2)</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66</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48</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Juergen Eckhardt, M.D.</w:t>
            </w:r>
            <w:r>
              <w:rPr>
                <w:rFonts w:ascii="Arial" w:cs="Arial" w:eastAsia="Arial" w:hAnsi="Arial"/>
                <w:sz w:val="21"/>
                <w:szCs w:val="21"/>
                <w:color w:val="auto"/>
                <w:vertAlign w:val="superscript"/>
              </w:rPr>
              <w:t>(5)</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Joseph Jimenez</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 Chairman of the Board</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Alessandro Riva, M.D.</w:t>
            </w:r>
            <w:r>
              <w:rPr>
                <w:rFonts w:ascii="Arial" w:cs="Arial" w:eastAsia="Arial" w:hAnsi="Arial"/>
                <w:sz w:val="21"/>
                <w:szCs w:val="21"/>
                <w:color w:val="auto"/>
                <w:vertAlign w:val="superscript"/>
              </w:rPr>
              <w:t>(1)</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74"/>
        </w:trPr>
        <w:tc>
          <w:tcPr>
            <w:tcW w:w="20" w:type="dxa"/>
            <w:vAlign w:val="bottom"/>
          </w:tcPr>
          <w:p>
            <w:pPr>
              <w:spacing w:after="0"/>
              <w:rPr>
                <w:sz w:val="23"/>
                <w:szCs w:val="23"/>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Carlo Rizzuto, Ph.D.</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-30480</wp:posOffset>
            </wp:positionV>
            <wp:extent cx="413448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ind w:left="1480" w:hanging="231"/>
        <w:spacing w:after="0"/>
        <w:tabs>
          <w:tab w:leader="none" w:pos="1480"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audit committee upon effectiveness of the Registration Statement of which this prospectus forms a part.</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compensation committee upon effectiveness of the Registration Statement of which this prospectus forms a</w:t>
      </w:r>
    </w:p>
    <w:p>
      <w:pPr>
        <w:spacing w:after="0" w:line="2" w:lineRule="exact"/>
        <w:rPr>
          <w:rFonts w:ascii="Arial" w:cs="Arial" w:eastAsia="Arial" w:hAnsi="Arial"/>
          <w:sz w:val="11"/>
          <w:szCs w:val="11"/>
          <w:color w:val="auto"/>
        </w:rPr>
      </w:pPr>
    </w:p>
    <w:p>
      <w:pPr>
        <w:ind w:left="1240"/>
        <w:spacing w:after="0"/>
        <w:rPr>
          <w:rFonts w:ascii="Arial" w:cs="Arial" w:eastAsia="Arial" w:hAnsi="Arial"/>
          <w:sz w:val="11"/>
          <w:szCs w:val="11"/>
          <w:color w:val="auto"/>
        </w:rPr>
      </w:pPr>
      <w:r>
        <w:rPr>
          <w:rFonts w:ascii="Arial" w:cs="Arial" w:eastAsia="Arial" w:hAnsi="Arial"/>
          <w:sz w:val="11"/>
          <w:szCs w:val="11"/>
          <w:color w:val="auto"/>
        </w:rPr>
        <w:t>part.</w:t>
      </w:r>
    </w:p>
    <w:p>
      <w:pPr>
        <w:spacing w:after="0" w:line="66" w:lineRule="exact"/>
        <w:rPr>
          <w:rFonts w:ascii="Arial" w:cs="Arial" w:eastAsia="Arial" w:hAnsi="Arial"/>
          <w:sz w:val="11"/>
          <w:szCs w:val="11"/>
          <w:color w:val="auto"/>
        </w:rPr>
      </w:pPr>
    </w:p>
    <w:p>
      <w:pPr>
        <w:ind w:left="1240" w:right="139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Member of our nominating and corporate governance committee upon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43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Mr. Ban has notified us that he will resign from our board of directors effective immediately prior to the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399" w:firstLine="9"/>
        <w:spacing w:after="0" w:line="248" w:lineRule="auto"/>
        <w:tabs>
          <w:tab w:leader="none" w:pos="1476" w:val="left"/>
        </w:tabs>
        <w:numPr>
          <w:ilvl w:val="0"/>
          <w:numId w:val="81"/>
        </w:numPr>
        <w:rPr>
          <w:rFonts w:ascii="Arial" w:cs="Arial" w:eastAsia="Arial" w:hAnsi="Arial"/>
          <w:sz w:val="11"/>
          <w:szCs w:val="11"/>
          <w:color w:val="auto"/>
        </w:rPr>
      </w:pPr>
      <w:r>
        <w:rPr>
          <w:rFonts w:ascii="Arial" w:cs="Arial" w:eastAsia="Arial" w:hAnsi="Arial"/>
          <w:sz w:val="11"/>
          <w:szCs w:val="11"/>
          <w:color w:val="auto"/>
        </w:rPr>
        <w:t>Dr. Eckhardt has notified us that he will resign from our board of directors effective immediately prior to the effectiveness of the Registration Statement of which this prospectus forms a part.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officers</w:t>
      </w:r>
    </w:p>
    <w:p>
      <w:pPr>
        <w:spacing w:after="0" w:line="124" w:lineRule="exact"/>
        <w:rPr>
          <w:sz w:val="20"/>
          <w:szCs w:val="20"/>
          <w:color w:val="auto"/>
        </w:rPr>
      </w:pPr>
    </w:p>
    <w:p>
      <w:pPr>
        <w:ind w:left="1240" w:right="1399"/>
        <w:spacing w:after="0" w:line="274" w:lineRule="auto"/>
        <w:rPr>
          <w:sz w:val="20"/>
          <w:szCs w:val="20"/>
          <w:color w:val="auto"/>
        </w:rPr>
      </w:pPr>
      <w:r>
        <w:rPr>
          <w:rFonts w:ascii="Arial" w:cs="Arial" w:eastAsia="Arial" w:hAnsi="Arial"/>
          <w:sz w:val="14"/>
          <w:szCs w:val="14"/>
          <w:b w:val="1"/>
          <w:bCs w:val="1"/>
          <w:i w:val="1"/>
          <w:iCs w:val="1"/>
          <w:color w:val="auto"/>
        </w:rPr>
        <w:t xml:space="preserve">Osvaldo Flores,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108"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right="1759"/>
        <w:spacing w:after="0" w:line="279" w:lineRule="auto"/>
        <w:rPr>
          <w:sz w:val="20"/>
          <w:szCs w:val="20"/>
          <w:color w:val="auto"/>
        </w:rPr>
      </w:pPr>
      <w:r>
        <w:rPr>
          <w:rFonts w:ascii="Arial" w:cs="Arial" w:eastAsia="Arial" w:hAnsi="Arial"/>
          <w:sz w:val="14"/>
          <w:szCs w:val="14"/>
          <w:b w:val="1"/>
          <w:bCs w:val="1"/>
          <w:i w:val="1"/>
          <w:iCs w:val="1"/>
          <w:color w:val="auto"/>
        </w:rPr>
        <w:t xml:space="preserve">Luis Borges, Ph.D. </w:t>
      </w:r>
      <w:r>
        <w:rPr>
          <w:rFonts w:ascii="Arial" w:cs="Arial" w:eastAsia="Arial" w:hAnsi="Arial"/>
          <w:sz w:val="14"/>
          <w:szCs w:val="14"/>
          <w:color w:val="auto"/>
        </w:rPr>
        <w:t>has served as our Chief Scientific Officer since April 2019. Dr. Borges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Scientific Officer of Cell Medica, a pharmaceutical company specializing in cellular immunotherapy, from August 2017 until March 2019. Prior to this,</w:t>
      </w:r>
    </w:p>
    <w:p>
      <w:pPr>
        <w:spacing w:after="0" w:line="1"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 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261" w:lineRule="exact"/>
        <w:rPr>
          <w:sz w:val="20"/>
          <w:szCs w:val="20"/>
          <w:color w:val="auto"/>
        </w:rPr>
      </w:pPr>
    </w:p>
    <w:p>
      <w:pPr>
        <w:ind w:left="1240" w:right="1539"/>
        <w:spacing w:after="0" w:line="279" w:lineRule="auto"/>
        <w:rPr>
          <w:sz w:val="20"/>
          <w:szCs w:val="20"/>
          <w:color w:val="auto"/>
        </w:rPr>
      </w:pPr>
      <w:r>
        <w:rPr>
          <w:rFonts w:ascii="Arial" w:cs="Arial" w:eastAsia="Arial" w:hAnsi="Arial"/>
          <w:sz w:val="14"/>
          <w:szCs w:val="14"/>
          <w:b w:val="1"/>
          <w:bCs w:val="1"/>
          <w:i w:val="1"/>
          <w:iCs w:val="1"/>
          <w:color w:val="auto"/>
        </w:rPr>
        <w:t xml:space="preserve">Michael Diem, M.D. </w:t>
      </w:r>
      <w:r>
        <w:rPr>
          <w:rFonts w:ascii="Arial" w:cs="Arial" w:eastAsia="Arial" w:hAnsi="Arial"/>
          <w:sz w:val="14"/>
          <w:szCs w:val="14"/>
          <w:color w:val="auto"/>
        </w:rPr>
        <w:t>has served as our Chief Business Officer since September 2020.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Diem was Senior Vice President of Business and Corporate Development at Amicus Therapeutics, a global biotechnology company, from September 2017 to</w:t>
      </w:r>
    </w:p>
    <w:p>
      <w:pPr>
        <w:spacing w:after="0" w:line="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2" w:lineRule="exact"/>
        <w:rPr>
          <w:sz w:val="20"/>
          <w:szCs w:val="20"/>
          <w:color w:val="auto"/>
        </w:rPr>
      </w:pPr>
    </w:p>
    <w:p>
      <w:pPr>
        <w:ind w:left="1240" w:right="1399"/>
        <w:spacing w:after="0" w:line="275" w:lineRule="auto"/>
        <w:rPr>
          <w:sz w:val="20"/>
          <w:szCs w:val="20"/>
          <w:color w:val="auto"/>
        </w:rPr>
      </w:pPr>
      <w:r>
        <w:rPr>
          <w:rFonts w:ascii="Arial" w:cs="Arial" w:eastAsia="Arial" w:hAnsi="Arial"/>
          <w:sz w:val="14"/>
          <w:szCs w:val="14"/>
          <w:color w:val="auto"/>
        </w:rPr>
        <w:t>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b w:val="1"/>
          <w:bCs w:val="1"/>
          <w:i w:val="1"/>
          <w:iCs w:val="1"/>
          <w:color w:val="auto"/>
        </w:rPr>
        <w:t xml:space="preserve">Adrienne Farid, Ph.D. </w:t>
      </w:r>
      <w:r>
        <w:rPr>
          <w:rFonts w:ascii="Arial" w:cs="Arial" w:eastAsia="Arial" w:hAnsi="Arial"/>
          <w:sz w:val="14"/>
          <w:szCs w:val="14"/>
          <w:color w:val="auto"/>
        </w:rPr>
        <w:t>has served as our Chief Operations Officer since April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279" w:lineRule="exact"/>
        <w:rPr>
          <w:sz w:val="20"/>
          <w:szCs w:val="20"/>
          <w:color w:val="auto"/>
        </w:rPr>
      </w:pPr>
    </w:p>
    <w:p>
      <w:pPr>
        <w:jc w:val="both"/>
        <w:ind w:left="1240" w:right="1279"/>
        <w:spacing w:after="0" w:line="279" w:lineRule="auto"/>
        <w:rPr>
          <w:sz w:val="20"/>
          <w:szCs w:val="20"/>
          <w:color w:val="auto"/>
        </w:rPr>
      </w:pPr>
      <w:r>
        <w:rPr>
          <w:rFonts w:ascii="Arial" w:cs="Arial" w:eastAsia="Arial" w:hAnsi="Arial"/>
          <w:sz w:val="14"/>
          <w:szCs w:val="14"/>
          <w:b w:val="1"/>
          <w:bCs w:val="1"/>
          <w:i w:val="1"/>
          <w:iCs w:val="1"/>
          <w:color w:val="auto"/>
        </w:rPr>
        <w:t xml:space="preserve">Hyam Levitsky, M.D. </w:t>
      </w:r>
      <w:r>
        <w:rPr>
          <w:rFonts w:ascii="Arial" w:cs="Arial" w:eastAsia="Arial" w:hAnsi="Arial"/>
          <w:sz w:val="14"/>
          <w:szCs w:val="14"/>
          <w:color w:val="auto"/>
        </w:rPr>
        <w:t>has served as our President, Research and Development since May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Levitsky served as Executive Vice President and Chief Scientific Officer at Juno Therapeutics, Inc. from 2015 to 2018 and was Head of Cancer Immunotherapy Experimental Medicine at F.</w:t>
      </w:r>
    </w:p>
    <w:p>
      <w:pPr>
        <w:spacing w:after="0" w:line="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b w:val="1"/>
          <w:bCs w:val="1"/>
          <w:i w:val="1"/>
          <w:iCs w:val="1"/>
          <w:color w:val="auto"/>
        </w:rPr>
        <w:t xml:space="preserve">Gregory Russotti, Ph.D. </w:t>
      </w:r>
      <w:r>
        <w:rPr>
          <w:rFonts w:ascii="Arial" w:cs="Arial" w:eastAsia="Arial" w:hAnsi="Arial"/>
          <w:sz w:val="14"/>
          <w:szCs w:val="14"/>
          <w:color w:val="auto"/>
        </w:rPr>
        <w:t>has served as our Chief Technology Officer since January 2020.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joining us, Dr. Russotti held multiple positions at Celgene Corporation, a Bristol Myers Squibb company, from 2006 until 2009, including, Vice President of Cell Therapy Technical Development from January 2018 to November 2019, Vice President of Cell Therapy Development and Operations from October 2016 to December 2017,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directors</w:t>
      </w:r>
    </w:p>
    <w:p>
      <w:pPr>
        <w:spacing w:after="0" w:line="113"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b w:val="1"/>
          <w:bCs w:val="1"/>
          <w:i w:val="1"/>
          <w:iCs w:val="1"/>
          <w:color w:val="auto"/>
        </w:rPr>
        <w:t xml:space="preserve">Toshikazu Ban </w:t>
      </w:r>
      <w:r>
        <w:rPr>
          <w:rFonts w:ascii="Arial" w:cs="Arial" w:eastAsia="Arial" w:hAnsi="Arial"/>
          <w:sz w:val="14"/>
          <w:szCs w:val="14"/>
          <w:color w:val="auto"/>
        </w:rPr>
        <w:t>has served as a member of our board of directors since the 2021 Reorganization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Senior Deputy General Manager of the pharmaceutical product division at FUJIFILM Corporation since</w:t>
      </w:r>
    </w:p>
    <w:p>
      <w:pPr>
        <w:spacing w:after="0" w:line="1" w:lineRule="exact"/>
        <w:rPr>
          <w:sz w:val="20"/>
          <w:szCs w:val="20"/>
          <w:color w:val="auto"/>
        </w:rPr>
      </w:pPr>
    </w:p>
    <w:p>
      <w:pPr>
        <w:ind w:left="1240" w:right="1459"/>
        <w:spacing w:after="0" w:line="271" w:lineRule="auto"/>
        <w:rPr>
          <w:sz w:val="20"/>
          <w:szCs w:val="20"/>
          <w:color w:val="auto"/>
        </w:rPr>
      </w:pPr>
      <w:r>
        <w:rPr>
          <w:rFonts w:ascii="Arial" w:cs="Arial" w:eastAsia="Arial" w:hAnsi="Arial"/>
          <w:sz w:val="14"/>
          <w:szCs w:val="14"/>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June 2016. Prior to joining FUJIFILM Corporation, Mr. Ban served at Takeda Pharmaceutical Co. Ltd. from April 1985 to March 2013 in various R&amp;D management and Business Development roles of gradually increasing responsibility, including Senior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288" w:lineRule="exact"/>
        <w:rPr>
          <w:sz w:val="20"/>
          <w:szCs w:val="20"/>
          <w:color w:val="auto"/>
        </w:rPr>
      </w:pPr>
    </w:p>
    <w:p>
      <w:pPr>
        <w:ind w:left="1240" w:right="1619"/>
        <w:spacing w:after="0" w:line="276" w:lineRule="auto"/>
        <w:rPr>
          <w:sz w:val="20"/>
          <w:szCs w:val="20"/>
          <w:color w:val="auto"/>
        </w:rPr>
      </w:pPr>
      <w:r>
        <w:rPr>
          <w:rFonts w:ascii="Arial" w:cs="Arial" w:eastAsia="Arial" w:hAnsi="Arial"/>
          <w:sz w:val="14"/>
          <w:szCs w:val="14"/>
          <w:color w:val="auto"/>
        </w:rPr>
        <w:t>We believe that Mr. Ban is qualified to serve on our board of directors due to his extensive management experience and deep understanding of the biotechnology industry. Mr. Ban has notified us that he will resign from our board of directors effective immediately prior to the effectiveness of the Registration Statement of which this prospectus forms a part.</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Kimberly Lynn Blackwell, M.D. </w:t>
      </w:r>
      <w:r>
        <w:rPr>
          <w:rFonts w:ascii="Arial" w:cs="Arial" w:eastAsia="Arial" w:hAnsi="Arial"/>
          <w:sz w:val="14"/>
          <w:szCs w:val="14"/>
          <w:color w:val="auto"/>
        </w:rPr>
        <w:t>has served as a member of our board of directors since</w:t>
      </w:r>
    </w:p>
    <w:p>
      <w:pPr>
        <w:spacing w:after="0" w:line="37" w:lineRule="exact"/>
        <w:rPr>
          <w:sz w:val="20"/>
          <w:szCs w:val="20"/>
          <w:color w:val="auto"/>
        </w:rPr>
      </w:pPr>
    </w:p>
    <w:p>
      <w:pPr>
        <w:ind w:left="1240" w:right="1379"/>
        <w:spacing w:after="0" w:line="271" w:lineRule="auto"/>
        <w:rPr>
          <w:sz w:val="20"/>
          <w:szCs w:val="20"/>
          <w:color w:val="auto"/>
        </w:rPr>
      </w:pPr>
      <w:r>
        <w:rPr>
          <w:rFonts w:ascii="Arial" w:cs="Arial" w:eastAsia="Arial" w:hAnsi="Arial"/>
          <w:sz w:val="14"/>
          <w:szCs w:val="14"/>
          <w:color w:val="auto"/>
        </w:rPr>
        <w:t>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w:t>
      </w:r>
    </w:p>
    <w:p>
      <w:pPr>
        <w:spacing w:after="0" w:line="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Dr. Blackwell held positions at Duke Medical Center and Duke Cancer Institute as a Professor in the Department of Medicine from July 2012 to March 2018. Dr. Blackwell has served on the board of directors of Monte Rosa Therapeutics, Inc., a biotechnology company, and Zentalis Pharmaceuticals, Inc., a publicly-traded clinical-stage biopharmaceutical company, since June and July 2020, respectively. She has also served as a Steering Committee Member at the Duke Angel Network since February 2017 and on the Scientific Advisory Board for Artemis Women’s Health Fund since January 2021. Dr. Blackwell received her B.A. in bioethics from Duke University and her M.D. from the Mayo Clinic Medical School.</w:t>
      </w:r>
    </w:p>
    <w:p>
      <w:pPr>
        <w:spacing w:after="0" w:line="98"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We believe that Dr. Blackwell is qualified to serve on our board of directors due to her experience on the board of pharmaceutical companies and her extensive knowledge of the biotechnology and pharmaceutical industries.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Cynthia Butitta </w:t>
      </w:r>
      <w:r>
        <w:rPr>
          <w:rFonts w:ascii="Arial" w:cs="Arial" w:eastAsia="Arial" w:hAnsi="Arial"/>
          <w:sz w:val="14"/>
          <w:szCs w:val="14"/>
          <w:color w:val="auto"/>
        </w:rPr>
        <w:t>has served as a member of our board of directors since February 2021.</w:t>
      </w:r>
    </w:p>
    <w:p>
      <w:pPr>
        <w:spacing w:after="0" w:line="26" w:lineRule="exact"/>
        <w:rPr>
          <w:sz w:val="20"/>
          <w:szCs w:val="20"/>
          <w:color w:val="auto"/>
        </w:rPr>
      </w:pPr>
    </w:p>
    <w:p>
      <w:pPr>
        <w:ind w:left="1240" w:right="1339"/>
        <w:spacing w:after="0" w:line="255" w:lineRule="auto"/>
        <w:rPr>
          <w:sz w:val="20"/>
          <w:szCs w:val="20"/>
          <w:color w:val="auto"/>
        </w:rPr>
      </w:pPr>
      <w:r>
        <w:rPr>
          <w:rFonts w:ascii="Arial" w:cs="Arial" w:eastAsia="Arial" w:hAnsi="Arial"/>
          <w:sz w:val="14"/>
          <w:szCs w:val="14"/>
          <w:color w:val="auto"/>
        </w:rPr>
        <w:t>Ms. Butitta has served as a member of the board of directors of Olema Pharmaceuticals, Autolus Therapeutics plc, and UroGen Pharma 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w:t>
      </w:r>
    </w:p>
    <w:p>
      <w:pPr>
        <w:spacing w:after="0" w:line="1"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268" w:lineRule="exact"/>
        <w:rPr>
          <w:sz w:val="20"/>
          <w:szCs w:val="20"/>
          <w:color w:val="auto"/>
        </w:rPr>
      </w:pPr>
    </w:p>
    <w:p>
      <w:pPr>
        <w:jc w:val="both"/>
        <w:ind w:left="1240" w:right="1539"/>
        <w:spacing w:after="0" w:line="263" w:lineRule="auto"/>
        <w:rPr>
          <w:sz w:val="20"/>
          <w:szCs w:val="20"/>
          <w:color w:val="auto"/>
        </w:rPr>
      </w:pPr>
      <w:r>
        <w:rPr>
          <w:rFonts w:ascii="Arial" w:cs="Arial" w:eastAsia="Arial" w:hAnsi="Arial"/>
          <w:sz w:val="14"/>
          <w:szCs w:val="14"/>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87"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b w:val="1"/>
          <w:bCs w:val="1"/>
          <w:i w:val="1"/>
          <w:iCs w:val="1"/>
          <w:color w:val="auto"/>
        </w:rPr>
        <w:t xml:space="preserve">Eli Casdin </w:t>
      </w:r>
      <w:r>
        <w:rPr>
          <w:rFonts w:ascii="Arial" w:cs="Arial" w:eastAsia="Arial" w:hAnsi="Arial"/>
          <w:sz w:val="14"/>
          <w:szCs w:val="14"/>
          <w:color w:val="auto"/>
        </w:rPr>
        <w:t>has served as a member of our board of directors since February 2021. He founded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biotechnology-focused entities, including, AbSci Corporation, C2i Genomics, Cedilla Therapeutics, DNA Script, Einstein Medical, EQRx, GeneMatters, 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279"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7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b w:val="1"/>
          <w:bCs w:val="1"/>
          <w:i w:val="1"/>
          <w:iCs w:val="1"/>
          <w:color w:val="auto"/>
        </w:rPr>
        <w:t xml:space="preserve">Juergen Eckhardt, M.D.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28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We believe that Dr. Eckhardt is qualified to serve on our board of directors due to his deep knowledge of the biopharmaceutical industry and his diverse board experience. Dr. Eckhardt has notified us that he will resign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40" w:right="1399"/>
        <w:spacing w:after="0" w:line="274" w:lineRule="auto"/>
        <w:rPr>
          <w:sz w:val="20"/>
          <w:szCs w:val="20"/>
          <w:color w:val="auto"/>
        </w:rPr>
      </w:pPr>
      <w:r>
        <w:rPr>
          <w:rFonts w:ascii="Arial" w:cs="Arial" w:eastAsia="Arial" w:hAnsi="Arial"/>
          <w:sz w:val="14"/>
          <w:szCs w:val="14"/>
          <w:b w:val="1"/>
          <w:bCs w:val="1"/>
          <w:i w:val="1"/>
          <w:iCs w:val="1"/>
          <w:color w:val="auto"/>
        </w:rPr>
        <w:t xml:space="preserve">Joseph Jimenez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August 2019</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679"/>
        <w:spacing w:after="0" w:line="255" w:lineRule="auto"/>
        <w:rPr>
          <w:sz w:val="20"/>
          <w:szCs w:val="20"/>
          <w:color w:val="auto"/>
        </w:rPr>
      </w:pPr>
      <w:r>
        <w:rPr>
          <w:rFonts w:ascii="Arial" w:cs="Arial" w:eastAsia="Arial" w:hAnsi="Arial"/>
          <w:sz w:val="14"/>
          <w:szCs w:val="14"/>
          <w:color w:val="auto"/>
        </w:rPr>
        <w:t>until the 2021 Reorganization in February 2021. Mr. Jimenez has served as chairman of our board of directors since February 2021. Mr. Jimenez is currently Co-Founder and Managing Director of Aditum Bio, a venture capital firm. He has held this position since July 2019.</w:t>
      </w:r>
    </w:p>
    <w:p>
      <w:pPr>
        <w:spacing w:after="0" w:line="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was Executive Vice President, President and CEO of Heinz Europe from 2002 to 2006, and President and CEO of H.J. Heinz Company North America from 1999 to 2002. Mr. Jimenez is currently 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 Mr. Jimenez received his B.A. in marketing from Stanford University and an M.B.A. from the University of California, Berkeley.</w:t>
      </w:r>
    </w:p>
    <w:p>
      <w:pPr>
        <w:spacing w:after="0" w:line="103"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87" w:lineRule="exact"/>
        <w:rPr>
          <w:sz w:val="20"/>
          <w:szCs w:val="20"/>
          <w:color w:val="auto"/>
        </w:rPr>
      </w:pPr>
    </w:p>
    <w:p>
      <w:pPr>
        <w:ind w:left="1240" w:right="1399"/>
        <w:spacing w:after="0" w:line="261" w:lineRule="auto"/>
        <w:rPr>
          <w:sz w:val="20"/>
          <w:szCs w:val="20"/>
          <w:color w:val="auto"/>
        </w:rPr>
      </w:pPr>
      <w:r>
        <w:rPr>
          <w:rFonts w:ascii="Arial" w:cs="Arial" w:eastAsia="Arial" w:hAnsi="Arial"/>
          <w:sz w:val="14"/>
          <w:szCs w:val="14"/>
          <w:b w:val="1"/>
          <w:bCs w:val="1"/>
          <w:i w:val="1"/>
          <w:iCs w:val="1"/>
          <w:color w:val="auto"/>
        </w:rPr>
        <w:t xml:space="preserve">Alessandro Riva, M.D. </w:t>
      </w:r>
      <w:r>
        <w:rPr>
          <w:rFonts w:ascii="Arial" w:cs="Arial" w:eastAsia="Arial" w:hAnsi="Arial"/>
          <w:sz w:val="14"/>
          <w:szCs w:val="14"/>
          <w:color w:val="auto"/>
        </w:rPr>
        <w:t>has served as a member of our board of directors since May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Riva recently served as the Chief Executive Officer of Ichnos Sciences, a biotechnology company focusing on oncology therapies.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M.D. from Università degli Studi di Milano.</w:t>
      </w:r>
    </w:p>
    <w:p>
      <w:pPr>
        <w:spacing w:after="0" w:line="279" w:lineRule="exact"/>
        <w:rPr>
          <w:sz w:val="20"/>
          <w:szCs w:val="20"/>
          <w:color w:val="auto"/>
        </w:rPr>
      </w:pPr>
    </w:p>
    <w:p>
      <w:pPr>
        <w:ind w:left="1240" w:right="1759"/>
        <w:spacing w:after="0" w:line="270" w:lineRule="auto"/>
        <w:rPr>
          <w:sz w:val="20"/>
          <w:szCs w:val="20"/>
          <w:color w:val="auto"/>
        </w:rPr>
      </w:pPr>
      <w:r>
        <w:rPr>
          <w:rFonts w:ascii="Arial" w:cs="Arial" w:eastAsia="Arial" w:hAnsi="Arial"/>
          <w:sz w:val="14"/>
          <w:szCs w:val="14"/>
          <w:color w:val="auto"/>
        </w:rPr>
        <w:t>We believe that Dr. Riva is qualified to serve on our board of directors due to his extensive management experience at biotechnology companies.</w:t>
      </w:r>
    </w:p>
    <w:p>
      <w:pPr>
        <w:spacing w:after="0" w:line="72"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b w:val="1"/>
          <w:bCs w:val="1"/>
          <w:i w:val="1"/>
          <w:iCs w:val="1"/>
          <w:color w:val="auto"/>
        </w:rPr>
        <w:t xml:space="preserve">Carlo Rizzuto,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AG,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283" w:lineRule="exact"/>
        <w:rPr>
          <w:sz w:val="20"/>
          <w:szCs w:val="20"/>
          <w:color w:val="auto"/>
        </w:rPr>
      </w:pPr>
    </w:p>
    <w:p>
      <w:pPr>
        <w:ind w:left="1240" w:right="1479"/>
        <w:spacing w:after="0" w:line="270" w:lineRule="auto"/>
        <w:rPr>
          <w:sz w:val="20"/>
          <w:szCs w:val="20"/>
          <w:color w:val="auto"/>
        </w:rPr>
      </w:pPr>
      <w:r>
        <w:rPr>
          <w:rFonts w:ascii="Arial" w:cs="Arial" w:eastAsia="Arial" w:hAnsi="Arial"/>
          <w:sz w:val="14"/>
          <w:szCs w:val="14"/>
          <w:color w:val="auto"/>
        </w:rPr>
        <w:t>We believe that Dr. Rizzuto is qualified to serve on our board of directors due to his knowledge and experience as an investor in the life sciences industry.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Family relationships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18"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Our board of directors is currently composed of nine members and following the resignation of Toshikazu Ban and Juergen Eckhardt upon the effectiveness of the Registration Statement of which this prospectus forms a part, will consist of seven members. Eight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stock; Dr. Eckhardt was designated by holders of our Series B preferred stock; Mr. Casdin was designated by the holders of our Series C preferred stock; and Dr. Flores was designated by the holders of our common stock, voting as a separate class. Mr. Jimenez, Ms. Butitta, Dr. Blackwell, and Dr. Riva were appointed as independent directors by our board of directors, and Mr. Jimenez was appointed as Chairman of our board of directors.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accordance with our second amended and restated certificate of incorporation, which will become effective at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257" w:lineRule="exact"/>
        <w:rPr>
          <w:sz w:val="20"/>
          <w:szCs w:val="20"/>
          <w:color w:val="auto"/>
        </w:rPr>
      </w:pPr>
    </w:p>
    <w:p>
      <w:pPr>
        <w:jc w:val="both"/>
        <w:ind w:left="1360" w:right="165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 directors will be Carlo Rizzuto, Eli Casdin, and Lalo Flores, and their terms will expire at the first annual meeting of stockholders held following the closing of this offering;</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 directors will be Cynthia Butitta and Alessandro Riva, and their terms will expire at the second annual meeting of stockholders held following the closing of this offering; and</w:t>
      </w:r>
    </w:p>
    <w:p>
      <w:pPr>
        <w:spacing w:after="0" w:line="66"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III directors will be Joseph Jimenez and Kimberly Blackwell, and their terms will expire at the third annual meeting of stockholders held following the closing of this offering.</w:t>
      </w:r>
    </w:p>
    <w:p>
      <w:pPr>
        <w:spacing w:after="0" w:line="8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that will be included in our second amended and restated certificate of incorporation.</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leadership structure</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Role of board in risk oversight</w:t>
      </w:r>
    </w:p>
    <w:p>
      <w:pPr>
        <w:spacing w:after="0" w:line="1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56" w:lineRule="auto"/>
        <w:rPr>
          <w:sz w:val="20"/>
          <w:szCs w:val="20"/>
          <w:color w:val="auto"/>
        </w:rPr>
      </w:pPr>
      <w:r>
        <w:rPr>
          <w:rFonts w:ascii="Arial" w:cs="Arial" w:eastAsia="Arial" w:hAnsi="Arial"/>
          <w:sz w:val="14"/>
          <w:szCs w:val="14"/>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Director independence</w:t>
      </w:r>
    </w:p>
    <w:p>
      <w:pPr>
        <w:spacing w:after="0" w:line="118"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connection with this offering, we have applied to list our common stock on the Nasdaq Global Select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8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fees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282"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95"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committees</w:t>
      </w:r>
    </w:p>
    <w:p>
      <w:pPr>
        <w:spacing w:after="0" w:line="129"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each of which will have the composition and responsibilities described below upon effectiveness of the Registration Statement of which this prospectus forms a part. Our board of directors may establish other committees to facilitate the management of our business. Members will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prior to the closing of this offering.</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3"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Our audit committee will consist of Kimberly Blackwell, Cynthia Butitta, and Alessandro Riva. Our board of directors has determined that each of Kimberly Blackwell, Cynthia Butitta, and Alessandro Riva is independent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under the Listing Rules and Rule 10A-3(b)(1) of the Exchange Act. The chair of our audit committee will be Cynthia Butitta. Our board of directors has determined that each member of the audit committee can read and understand fundamental consolidated financial statements and that Cynthia Butitta is an “audit committee financial expert” as such term is currently defined in</w:t>
      </w:r>
    </w:p>
    <w:p>
      <w:pPr>
        <w:spacing w:after="0" w:line="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Item 407(d)(5) of Regulation S-K. Our audit committee will be responsible for, among other things:</w:t>
      </w:r>
    </w:p>
    <w:p>
      <w:pPr>
        <w:spacing w:after="0" w:line="77" w:lineRule="exact"/>
        <w:rPr>
          <w:sz w:val="20"/>
          <w:szCs w:val="20"/>
          <w:color w:val="auto"/>
        </w:rPr>
      </w:pPr>
    </w:p>
    <w:p>
      <w:pPr>
        <w:ind w:left="1360" w:right="159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appointing, evaluating, and overseeing a firm to serve as the independent registered public accounting firm to audit our consolidated financial statements;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06" w:lineRule="exact"/>
        <w:rPr>
          <w:rFonts w:ascii="Arial" w:cs="Arial" w:eastAsia="Arial" w:hAnsi="Arial"/>
          <w:sz w:val="14"/>
          <w:szCs w:val="14"/>
          <w:color w:val="auto"/>
        </w:rPr>
      </w:pPr>
    </w:p>
    <w:p>
      <w:pPr>
        <w:jc w:val="both"/>
        <w:ind w:left="1360" w:right="13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0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monitoring and reviewing legal, regulatory, and administrative compliance to the extent affecting our financial results;</w:t>
      </w:r>
    </w:p>
    <w:p>
      <w:pPr>
        <w:spacing w:after="0" w:line="66"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proposed waivers of the code of business conduct and ethics for directors and executive officers;</w:t>
      </w:r>
    </w:p>
    <w:p>
      <w:pPr>
        <w:spacing w:after="0" w:line="6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recommending and changes or amendments to the code of business and conduct and ethics;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material related party transactions or those that require disclosure;</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•determining and reviewing risk assessment guidelines and policies, including cybersecurity risks, financial risk exposure, and internal controls regarding information security; and</w:t>
      </w:r>
    </w:p>
    <w:p>
      <w:pPr>
        <w:spacing w:after="0" w:line="66" w:lineRule="exact"/>
        <w:rPr>
          <w:sz w:val="20"/>
          <w:szCs w:val="20"/>
          <w:color w:val="auto"/>
        </w:rPr>
      </w:pPr>
    </w:p>
    <w:p>
      <w:pPr>
        <w:ind w:left="1360" w:right="1479" w:hanging="111"/>
        <w:spacing w:after="0" w:line="286" w:lineRule="auto"/>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3"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Our compensation committee will consist of Cynthia Butitta, Eli Casdin, Joseph Jimenez, and Carlo Rizzuto. Our board of directors has determined that each member of this committee is a non-employee director, as defined by Rule 16b-3 promulgated under the Exchange Act and meets the requirements for independence under the Listing Rules. The chair of our compensation committee will be Carlo Rizzuto. The compensation committee will be responsible for, among other things:</w:t>
      </w:r>
    </w:p>
    <w:p>
      <w:pPr>
        <w:spacing w:after="0" w:line="256" w:lineRule="exact"/>
        <w:rPr>
          <w:sz w:val="20"/>
          <w:szCs w:val="20"/>
          <w:color w:val="auto"/>
        </w:rPr>
      </w:pPr>
    </w:p>
    <w:p>
      <w:pPr>
        <w:ind w:left="1360" w:right="127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approving the compensation of our executive officers and recommending that our board of directors approve the compensation of our Chief Executive Officer;</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06" w:lineRule="exact"/>
        <w:rPr>
          <w:rFonts w:ascii="Arial" w:cs="Arial" w:eastAsia="Arial" w:hAnsi="Arial"/>
          <w:sz w:val="14"/>
          <w:szCs w:val="14"/>
          <w:color w:val="auto"/>
        </w:rPr>
      </w:pPr>
    </w:p>
    <w:p>
      <w:pPr>
        <w:ind w:left="1360" w:right="173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 overseeing regulatory compliance related to such plans;</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our overall compensation philosophy.</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44"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Our nominating and corporate governance committee will consist of Kimberly Blackwell, Eli Casdin, Joseph Jimenez, and Carlo Rizzuto. Our board of directors has determined that each member of the nominating and corporate governance committee meets the requirements for independence under the Listing Rules. The chair of our nominating and corporate governance committee will be Joseph Jimenez. The nominating and corporate governance committee will be responsible for, among other things: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developing and recommending selection criteria for new directors for our board of directors;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0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reviewing and determining board director independence annually and, as needed, as potential conflicts of interest arise;</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reviewing and recommending our corporate governance guidelines and policies;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assisting our board of directors on corporate governance matters.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8"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2020 director compensation table</w:t>
      </w:r>
    </w:p>
    <w:p>
      <w:pPr>
        <w:spacing w:after="0" w:line="133"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Fees earned</w:t>
            </w:r>
          </w:p>
        </w:tc>
        <w:tc>
          <w:tcPr>
            <w:tcW w:w="6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or paid in</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All other</w:t>
            </w:r>
          </w:p>
        </w:tc>
        <w:tc>
          <w:tcPr>
            <w:tcW w:w="4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cash</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compensation</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8"/>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1"/>
        </w:trPr>
        <w:tc>
          <w:tcPr>
            <w:tcW w:w="20" w:type="dxa"/>
            <w:vAlign w:val="bottom"/>
          </w:tcPr>
          <w:p>
            <w:pPr>
              <w:spacing w:after="0"/>
              <w:rPr>
                <w:sz w:val="14"/>
                <w:szCs w:val="14"/>
                <w:color w:val="auto"/>
              </w:rPr>
            </w:pPr>
          </w:p>
        </w:tc>
        <w:tc>
          <w:tcPr>
            <w:tcW w:w="3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Juergen Eckhardt, M.D.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Joseph Jimenez</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2021 Director letter agreements</w:t>
      </w:r>
    </w:p>
    <w:p>
      <w:pPr>
        <w:spacing w:after="0" w:line="129"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 The letter agreements provide for the issuance of stock options to purchase 149,224 and 271,690 shares of our common stock to Ms. Butitta and Mr. Jimenez, respectively. In each case,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268"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The letter agreements also provide that we will pay annual cash retainers of $25,000 and $50,000 to Ms. Butitta and Mr. Jimenez, respectively. These annual retainers will be paid in quarterly installments. Following the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completion of this offering, these annual cash retainers will be superseded by the compensation payable under the Non-Employee Director Compensation Policy described below.</w:t>
      </w:r>
    </w:p>
    <w:p>
      <w:pPr>
        <w:spacing w:after="0" w:line="87"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In June 2021, after further discussions, our Board determined to cancel the stock option award described above, and instead issued a restricted stock award to Ms. Butitta with respect to 98,936 shares of our Common Stock. The restricted stock award will vest on the same schedule as the original stock option award.</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May 2021, we entered into letter agreements with Dr. Blackwell and Dr. Riva regarding their service as members of our board of directors and their compensation for that service. These letters contemplate one-time stock option awards and annual cash retainers. The letter agreements provide for the issuance of a stock option to purchase 99,483 shares of our common stock to each of Dr. Blackwell and Dr. Riva.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10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The letter agreements also provide that we will pay an annual cash retainer of $25,000 to each of Dr. Blackwell and Dr. Riva.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29"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Our board of directors intends to adopt a non-employee director compensation policy, to be effective upon the effectiveness of the Registration Statement of which this prospectus forms a part.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w:t>
            </w:r>
          </w:p>
        </w:tc>
        <w:tc>
          <w:tcPr>
            <w:tcW w:w="3580" w:type="dxa"/>
            <w:vAlign w:val="bottom"/>
            <w:tcBorders>
              <w:top w:val="single" w:sz="8" w:color="auto"/>
            </w:tcBorders>
            <w:shd w:val="clear" w:color="auto" w:fill="CCEEFF"/>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Member Annual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$ 35,000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Chairperson Annual Retainer</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$ 30,000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Chair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$ 15,000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$ 10,000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$ 8,000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Member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$ 7,500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$ 4,000</w:t>
            </w:r>
          </w:p>
        </w:tc>
        <w:tc>
          <w:tcPr>
            <w:tcW w:w="1000" w:type="dxa"/>
            <w:vAlign w:val="bottom"/>
          </w:tcPr>
          <w:p>
            <w:pPr>
              <w:spacing w:after="0"/>
              <w:rPr>
                <w:sz w:val="14"/>
                <w:szCs w:val="14"/>
                <w:color w:val="auto"/>
              </w:rPr>
            </w:pPr>
          </w:p>
        </w:tc>
      </w:tr>
      <w:tr>
        <w:trPr>
          <w:trHeight w:val="139"/>
        </w:trPr>
        <w:tc>
          <w:tcPr>
            <w:tcW w:w="1000" w:type="dxa"/>
            <w:vAlign w:val="bottom"/>
          </w:tcPr>
          <w:p>
            <w:pPr>
              <w:spacing w:after="0"/>
              <w:rPr>
                <w:sz w:val="12"/>
                <w:szCs w:val="12"/>
                <w:color w:val="auto"/>
              </w:rPr>
            </w:pPr>
          </w:p>
        </w:tc>
        <w:tc>
          <w:tcPr>
            <w:tcW w:w="2920" w:type="dxa"/>
            <w:vAlign w:val="bottom"/>
          </w:tcPr>
          <w:p>
            <w:pPr>
              <w:spacing w:after="0" w:line="139" w:lineRule="exact"/>
              <w:rPr>
                <w:sz w:val="20"/>
                <w:szCs w:val="20"/>
                <w:color w:val="auto"/>
              </w:rPr>
            </w:pPr>
            <w:r>
              <w:rPr>
                <w:rFonts w:ascii="Arial" w:cs="Arial" w:eastAsia="Arial" w:hAnsi="Arial"/>
                <w:sz w:val="14"/>
                <w:szCs w:val="14"/>
                <w:b w:val="1"/>
                <w:bCs w:val="1"/>
                <w:color w:val="auto"/>
              </w:rPr>
              <w:t>Equity</w:t>
            </w:r>
          </w:p>
        </w:tc>
        <w:tc>
          <w:tcPr>
            <w:tcW w:w="35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Equity Grant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Option to purchase 100,000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Common Stock, made to directors</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at  the  commencement  of  their</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director  service,  vesting  monthly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over a period of 36 months, subject</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to   continued   service   with   the</w:t>
            </w:r>
          </w:p>
        </w:tc>
        <w:tc>
          <w:tcPr>
            <w:tcW w:w="1000" w:type="dxa"/>
            <w:vAlign w:val="bottom"/>
          </w:tcPr>
          <w:p>
            <w:pPr>
              <w:spacing w:after="0"/>
              <w:rPr>
                <w:sz w:val="14"/>
                <w:szCs w:val="14"/>
                <w:color w:val="auto"/>
              </w:rPr>
            </w:pPr>
          </w:p>
        </w:tc>
      </w:tr>
      <w:tr>
        <w:trPr>
          <w:trHeight w:val="172"/>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Company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Annual Equity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Option to purchase 50,000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Common Stock, vesting in full on</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sooner of the first anniversary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date of grant or the next annual</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shareholder  meeting,  subject  to</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continued service with the Company</w:t>
            </w:r>
          </w:p>
        </w:tc>
        <w:tc>
          <w:tcPr>
            <w:tcW w:w="1000" w:type="dxa"/>
            <w:vAlign w:val="bottom"/>
          </w:tcPr>
          <w:p>
            <w:pPr>
              <w:spacing w:after="0"/>
              <w:rPr>
                <w:sz w:val="14"/>
                <w:szCs w:val="14"/>
                <w:color w:val="auto"/>
              </w:rPr>
            </w:pPr>
          </w:p>
        </w:tc>
      </w:tr>
      <w:tr>
        <w:trPr>
          <w:trHeight w:val="54"/>
        </w:trPr>
        <w:tc>
          <w:tcPr>
            <w:tcW w:w="100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504"/>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160</w:t>
            </w: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Each annual cash retainer will be paid quarterly in arrears. All equity awards granted under the non-employee director compensation policy will be granted under, and subject to the terms of, the 2021 Plan.</w:t>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Initial public offering option grant</w:t>
      </w:r>
    </w:p>
    <w:p>
      <w:pPr>
        <w:spacing w:after="0" w:line="129"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In connection with this offering, each of our non-employee directors (other than Mr. Casdin and Dr. Rizzuto) serving on the board of directors upon the closing of the offering will be granted an option to purchase 50,000 shares of our common stock at the initial public offering price on the same terms as the Annual Equity Retainer, as described in the above table. Each of Mr. Casdin and Dr. Rizzuto, so long as each is serving on the board of directors upon the closing of the offering, will be granted an option to purchase 100,000 shares of our common stock at the initial public offering price on the same terms as the Initial Equity Grant, as described in the above table. Each of the foregoing director equity grants will be granted under, and subject to the terms of, the 2021 Plan.</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86"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7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second amended and restated certificate of incorporation and our amended and restated bylaws, which will each become effective immediately prior to the closing of this offering, will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63" w:lineRule="exact"/>
        <w:rPr>
          <w:sz w:val="20"/>
          <w:szCs w:val="20"/>
          <w:color w:val="auto"/>
        </w:rPr>
      </w:pPr>
    </w:p>
    <w:p>
      <w:pPr>
        <w:ind w:left="1360" w:hanging="111"/>
        <w:spacing w:after="0"/>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96" w:lineRule="exact"/>
        <w:rPr>
          <w:rFonts w:ascii="Arial" w:cs="Arial" w:eastAsia="Arial" w:hAnsi="Arial"/>
          <w:sz w:val="14"/>
          <w:szCs w:val="14"/>
          <w:color w:val="auto"/>
        </w:rPr>
      </w:pPr>
    </w:p>
    <w:p>
      <w:pPr>
        <w:ind w:left="1360" w:right="1259" w:hanging="111"/>
        <w:spacing w:after="0" w:line="263" w:lineRule="auto"/>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act or omission not in good faith or that involves intentional misconduct or a knowing violation of law;</w:t>
      </w:r>
    </w:p>
    <w:p>
      <w:pPr>
        <w:spacing w:after="0" w:line="26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unlawful payment of dividends or unlawful stock repurchases or redemptions as provided in Section 174 of the DGCL; or</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benefit.</w:t>
      </w:r>
    </w:p>
    <w:p>
      <w:pPr>
        <w:spacing w:after="0" w:line="75" w:lineRule="exact"/>
        <w:rPr>
          <w:sz w:val="20"/>
          <w:szCs w:val="20"/>
          <w:color w:val="auto"/>
        </w:rPr>
      </w:pPr>
    </w:p>
    <w:p>
      <w:pPr>
        <w:ind w:left="1240" w:right="1339"/>
        <w:spacing w:after="0" w:line="278" w:lineRule="auto"/>
        <w:rPr>
          <w:sz w:val="20"/>
          <w:szCs w:val="20"/>
          <w:color w:val="auto"/>
        </w:rPr>
      </w:pPr>
      <w:r>
        <w:rPr>
          <w:rFonts w:ascii="Arial" w:cs="Arial" w:eastAsia="Arial" w:hAnsi="Arial"/>
          <w:sz w:val="14"/>
          <w:szCs w:val="14"/>
          <w:color w:val="auto"/>
        </w:rPr>
        <w:t>The DGCL and our amended and restated bylaws provide that we will, in certain situations, indemnify our directors and officers and may indemnify other employees and other agents, to the fullest extent permitted by law.</w:t>
      </w:r>
    </w:p>
    <w:p>
      <w:pPr>
        <w:spacing w:after="0" w:line="40"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38" w:lineRule="exact"/>
        <w:rPr>
          <w:sz w:val="20"/>
          <w:szCs w:val="20"/>
          <w:color w:val="auto"/>
        </w:rPr>
      </w:pPr>
    </w:p>
    <w:p>
      <w:pPr>
        <w:ind w:left="1240" w:right="1399"/>
        <w:spacing w:after="0" w:line="278" w:lineRule="auto"/>
        <w:rPr>
          <w:sz w:val="20"/>
          <w:szCs w:val="20"/>
          <w:color w:val="auto"/>
        </w:rPr>
      </w:pPr>
      <w:r>
        <w:rPr>
          <w:rFonts w:ascii="Arial" w:cs="Arial" w:eastAsia="Arial" w:hAnsi="Arial"/>
          <w:sz w:val="14"/>
          <w:szCs w:val="14"/>
          <w:color w:val="auto"/>
        </w:rPr>
        <w:t>We maintain a directors’ and officers’ insurance policy pursuant to which our directors and officers are insured against liability for actions taken in their capacities as directors and officers. We believe that these provisions in our</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8" w:lineRule="auto"/>
        <w:rPr>
          <w:sz w:val="20"/>
          <w:szCs w:val="20"/>
          <w:color w:val="auto"/>
        </w:rPr>
      </w:pPr>
      <w:r>
        <w:rPr>
          <w:rFonts w:ascii="Arial" w:cs="Arial" w:eastAsia="Arial" w:hAnsi="Arial"/>
          <w:sz w:val="14"/>
          <w:szCs w:val="14"/>
          <w:color w:val="auto"/>
        </w:rPr>
        <w:t>second amended and restated certificate of incorporation and amended and restated bylaws and these indemnification agreements are necessary to attract and retain qualified persons as directors and officers.</w:t>
      </w:r>
    </w:p>
    <w:p>
      <w:pPr>
        <w:spacing w:after="0" w:line="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directors and officers as required by these indemnification provisions.</w:t>
      </w:r>
    </w:p>
    <w:p>
      <w:pPr>
        <w:spacing w:after="0" w:line="46"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51"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Executive compensation</w:t>
      </w:r>
    </w:p>
    <w:p>
      <w:pPr>
        <w:spacing w:after="0" w:line="11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Our named executive officers, or NEOs, for the year ended December 31, 2020, which consist of our principal executive officer and our two most highly compensated executive officers, are:</w:t>
      </w:r>
    </w:p>
    <w:p>
      <w:pPr>
        <w:spacing w:after="0" w:line="77" w:lineRule="exact"/>
        <w:rPr>
          <w:sz w:val="20"/>
          <w:szCs w:val="20"/>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Osvaldo Flores, our President and Chief Executive Officer;</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Hyam Levitsky, our President of Research and Development;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Michael Diem, our Chief Business Officer.</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Summary compensation table</w:t>
      </w:r>
    </w:p>
    <w:p>
      <w:pPr>
        <w:spacing w:after="0" w:line="12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The following table provides information regarding the compensation earned by our NEOs for the year ended December 31, 2020.</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Non-equity</w:t>
            </w:r>
          </w:p>
        </w:tc>
        <w:tc>
          <w:tcPr>
            <w:tcW w:w="10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jc w:val="right"/>
              <w:ind w:right="14"/>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020" w:type="dxa"/>
            <w:vAlign w:val="bottom"/>
          </w:tcPr>
          <w:p>
            <w:pPr>
              <w:jc w:val="right"/>
              <w:ind w:right="12"/>
              <w:spacing w:after="0"/>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3"/>
                <w:szCs w:val="13"/>
                <w:color w:val="auto"/>
              </w:rPr>
            </w:pPr>
          </w:p>
        </w:tc>
      </w:tr>
      <w:tr>
        <w:trPr>
          <w:trHeight w:val="143"/>
        </w:trPr>
        <w:tc>
          <w:tcPr>
            <w:tcW w:w="15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Name and principal</w:t>
            </w:r>
          </w:p>
        </w:tc>
        <w:tc>
          <w:tcPr>
            <w:tcW w:w="400" w:type="dxa"/>
            <w:vAlign w:val="bottom"/>
          </w:tcPr>
          <w:p>
            <w:pPr>
              <w:spacing w:after="0"/>
              <w:rPr>
                <w:sz w:val="12"/>
                <w:szCs w:val="12"/>
                <w:color w:val="auto"/>
              </w:rPr>
            </w:pPr>
          </w:p>
        </w:tc>
        <w:tc>
          <w:tcPr>
            <w:tcW w:w="760" w:type="dxa"/>
            <w:vAlign w:val="bottom"/>
          </w:tcPr>
          <w:p>
            <w:pPr>
              <w:jc w:val="right"/>
              <w:ind w:right="91"/>
              <w:spacing w:after="0" w:line="143" w:lineRule="exact"/>
              <w:rPr>
                <w:sz w:val="20"/>
                <w:szCs w:val="20"/>
                <w:color w:val="auto"/>
              </w:rPr>
            </w:pPr>
            <w:r>
              <w:rPr>
                <w:rFonts w:ascii="Arial" w:cs="Arial" w:eastAsia="Arial" w:hAnsi="Arial"/>
                <w:sz w:val="13"/>
                <w:szCs w:val="13"/>
                <w:b w:val="1"/>
                <w:bCs w:val="1"/>
                <w:color w:val="auto"/>
              </w:rPr>
              <w:t>Salary</w:t>
            </w:r>
          </w:p>
        </w:tc>
        <w:tc>
          <w:tcPr>
            <w:tcW w:w="58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Bonus</w:t>
            </w:r>
          </w:p>
        </w:tc>
        <w:tc>
          <w:tcPr>
            <w:tcW w:w="580" w:type="dxa"/>
            <w:vAlign w:val="bottom"/>
          </w:tcPr>
          <w:p>
            <w:pPr>
              <w:jc w:val="right"/>
              <w:ind w:right="14"/>
              <w:spacing w:after="0" w:line="143" w:lineRule="exact"/>
              <w:rPr>
                <w:sz w:val="20"/>
                <w:szCs w:val="20"/>
                <w:color w:val="auto"/>
              </w:rPr>
            </w:pPr>
            <w:r>
              <w:rPr>
                <w:rFonts w:ascii="Arial" w:cs="Arial" w:eastAsia="Arial" w:hAnsi="Arial"/>
                <w:sz w:val="13"/>
                <w:szCs w:val="13"/>
                <w:b w:val="1"/>
                <w:bCs w:val="1"/>
                <w:color w:val="auto"/>
              </w:rPr>
              <w:t>awards</w:t>
            </w:r>
          </w:p>
        </w:tc>
        <w:tc>
          <w:tcPr>
            <w:tcW w:w="9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compensation</w:t>
            </w:r>
          </w:p>
        </w:tc>
        <w:tc>
          <w:tcPr>
            <w:tcW w:w="102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compensation</w:t>
            </w:r>
          </w:p>
        </w:tc>
        <w:tc>
          <w:tcPr>
            <w:tcW w:w="6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Total</w:t>
            </w:r>
          </w:p>
        </w:tc>
      </w:tr>
      <w:tr>
        <w:trPr>
          <w:trHeight w:val="203"/>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(1)</w:t>
            </w:r>
          </w:p>
        </w:tc>
        <w:tc>
          <w:tcPr>
            <w:tcW w:w="9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3"/>
        </w:trPr>
        <w:tc>
          <w:tcPr>
            <w:tcW w:w="20" w:type="dxa"/>
            <w:vAlign w:val="bottom"/>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Osvaldo Flores, Ph.D.</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461,250</w:t>
            </w: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741,750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185,400</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1,390,650</w:t>
            </w:r>
          </w:p>
        </w:tc>
      </w:tr>
      <w:tr>
        <w:trPr>
          <w:trHeight w:val="157"/>
        </w:trPr>
        <w:tc>
          <w:tcPr>
            <w:tcW w:w="20" w:type="dxa"/>
            <w:vAlign w:val="bottom"/>
          </w:tcPr>
          <w:p>
            <w:pPr>
              <w:spacing w:after="0"/>
              <w:rPr>
                <w:sz w:val="13"/>
                <w:szCs w:val="13"/>
                <w:color w:val="auto"/>
              </w:rPr>
            </w:pPr>
          </w:p>
        </w:tc>
        <w:tc>
          <w:tcPr>
            <w:tcW w:w="1500" w:type="dxa"/>
            <w:vAlign w:val="bottom"/>
          </w:tcPr>
          <w:p>
            <w:pPr>
              <w:ind w:left="140"/>
              <w:spacing w:after="0" w:line="157" w:lineRule="exact"/>
              <w:rPr>
                <w:sz w:val="20"/>
                <w:szCs w:val="20"/>
                <w:color w:val="auto"/>
              </w:rPr>
            </w:pPr>
            <w:r>
              <w:rPr>
                <w:rFonts w:ascii="Arial" w:cs="Arial" w:eastAsia="Arial" w:hAnsi="Arial"/>
                <w:sz w:val="14"/>
                <w:szCs w:val="14"/>
                <w:i w:val="1"/>
                <w:iCs w:val="1"/>
                <w:color w:val="auto"/>
              </w:rPr>
              <w:t>President and Chief</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Executive Officer</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3"/>
        </w:trPr>
        <w:tc>
          <w:tcPr>
            <w:tcW w:w="1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Hyam Levitsky, M.D.</w:t>
            </w: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jc w:val="right"/>
              <w:ind w:right="11"/>
              <w:spacing w:after="0" w:line="214" w:lineRule="exact"/>
              <w:rPr>
                <w:sz w:val="20"/>
                <w:szCs w:val="20"/>
                <w:color w:val="auto"/>
              </w:rPr>
            </w:pPr>
            <w:r>
              <w:rPr>
                <w:rFonts w:ascii="Arial" w:cs="Arial" w:eastAsia="Arial" w:hAnsi="Arial"/>
                <w:sz w:val="14"/>
                <w:szCs w:val="14"/>
                <w:color w:val="auto"/>
                <w:w w:val="97"/>
              </w:rPr>
              <w:t>384,375</w:t>
            </w:r>
            <w:r>
              <w:rPr>
                <w:rFonts w:ascii="Arial" w:cs="Arial" w:eastAsia="Arial" w:hAnsi="Arial"/>
                <w:sz w:val="21"/>
                <w:szCs w:val="21"/>
                <w:color w:val="auto"/>
                <w:w w:val="97"/>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115,875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502,125</w:t>
            </w:r>
          </w:p>
        </w:tc>
      </w:tr>
      <w:tr>
        <w:trPr>
          <w:trHeight w:val="182"/>
        </w:trPr>
        <w:tc>
          <w:tcPr>
            <w:tcW w:w="2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President of R&amp;D</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5"/>
        </w:trPr>
        <w:tc>
          <w:tcPr>
            <w:tcW w:w="152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400" w:type="dxa"/>
            <w:vAlign w:val="bottom"/>
          </w:tcPr>
          <w:p>
            <w:pPr>
              <w:jc w:val="center"/>
              <w:spacing w:after="0"/>
              <w:rPr>
                <w:sz w:val="20"/>
                <w:szCs w:val="20"/>
                <w:color w:val="auto"/>
              </w:rPr>
            </w:pPr>
            <w:r>
              <w:rPr>
                <w:rFonts w:ascii="Arial" w:cs="Arial" w:eastAsia="Arial" w:hAnsi="Arial"/>
                <w:sz w:val="14"/>
                <w:szCs w:val="14"/>
                <w:color w:val="auto"/>
              </w:rPr>
              <w:t>2020</w:t>
            </w:r>
          </w:p>
        </w:tc>
        <w:tc>
          <w:tcPr>
            <w:tcW w:w="192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123,958 125,000</w:t>
            </w:r>
            <w:r>
              <w:rPr>
                <w:rFonts w:ascii="Arial" w:cs="Arial" w:eastAsia="Arial" w:hAnsi="Arial"/>
                <w:sz w:val="21"/>
                <w:szCs w:val="21"/>
                <w:color w:val="auto"/>
                <w:vertAlign w:val="superscript"/>
              </w:rPr>
              <w:t>(5)</w:t>
            </w:r>
            <w:r>
              <w:rPr>
                <w:rFonts w:ascii="Arial" w:cs="Arial" w:eastAsia="Arial" w:hAnsi="Arial"/>
                <w:sz w:val="14"/>
                <w:szCs w:val="14"/>
                <w:color w:val="auto"/>
              </w:rPr>
              <w:t xml:space="preserve"> 644,258</w:t>
            </w:r>
          </w:p>
        </w:tc>
        <w:tc>
          <w:tcPr>
            <w:tcW w:w="980" w:type="dxa"/>
            <w:vAlign w:val="bottom"/>
          </w:tcPr>
          <w:p>
            <w:pPr>
              <w:jc w:val="right"/>
              <w:spacing w:after="0"/>
              <w:rPr>
                <w:sz w:val="20"/>
                <w:szCs w:val="20"/>
                <w:color w:val="auto"/>
              </w:rPr>
            </w:pPr>
            <w:r>
              <w:rPr>
                <w:rFonts w:ascii="Arial" w:cs="Arial" w:eastAsia="Arial" w:hAnsi="Arial"/>
                <w:sz w:val="14"/>
                <w:szCs w:val="14"/>
                <w:color w:val="auto"/>
              </w:rPr>
              <w:t>49,583</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942,799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-134620</wp:posOffset>
            </wp:positionV>
            <wp:extent cx="4134485" cy="135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134485" cy="135890"/>
                    </a:xfrm>
                    <a:prstGeom prst="rect">
                      <a:avLst/>
                    </a:prstGeom>
                    <a:noFill/>
                  </pic:spPr>
                </pic:pic>
              </a:graphicData>
            </a:graphic>
          </wp:anchor>
        </w:drawing>
      </w:r>
    </w:p>
    <w:p>
      <w:pPr>
        <w:ind w:left="1400"/>
        <w:spacing w:after="0" w:line="207" w:lineRule="auto"/>
        <w:rPr>
          <w:sz w:val="20"/>
          <w:szCs w:val="20"/>
          <w:color w:val="auto"/>
        </w:rPr>
      </w:pPr>
      <w:r>
        <w:rPr>
          <w:rFonts w:ascii="Arial" w:cs="Arial" w:eastAsia="Arial" w:hAnsi="Arial"/>
          <w:sz w:val="14"/>
          <w:szCs w:val="14"/>
          <w:i w:val="1"/>
          <w:iCs w:val="1"/>
          <w:color w:val="auto"/>
        </w:rPr>
        <w:t>Chief Business</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1"/>
          <w:szCs w:val="21"/>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17145</wp:posOffset>
            </wp:positionV>
            <wp:extent cx="413448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60" w:lineRule="exact"/>
        <w:rPr>
          <w:sz w:val="20"/>
          <w:szCs w:val="20"/>
          <w:color w:val="auto"/>
        </w:rPr>
      </w:pPr>
    </w:p>
    <w:p>
      <w:pPr>
        <w:ind w:left="1240" w:right="1319" w:firstLine="9"/>
        <w:spacing w:after="0" w:line="227" w:lineRule="auto"/>
        <w:tabs>
          <w:tab w:leader="none" w:pos="1476" w:val="left"/>
        </w:tabs>
        <w:numPr>
          <w:ilvl w:val="0"/>
          <w:numId w:val="89"/>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3"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Amounts shown are cash incentive payments earned in respect of 2020 performance and paid in the first quarter of 2021.</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The salary paid to Dr. Levitsky in 2020 was based upon him working at a 75% schedule.</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Dr. Diem commenced employment with us in September 2020.</w:t>
      </w:r>
    </w:p>
    <w:p>
      <w:pPr>
        <w:spacing w:after="0" w:line="66" w:lineRule="exact"/>
        <w:rPr>
          <w:rFonts w:ascii="Arial" w:cs="Arial" w:eastAsia="Arial" w:hAnsi="Arial"/>
          <w:sz w:val="11"/>
          <w:szCs w:val="11"/>
          <w:color w:val="auto"/>
        </w:rPr>
      </w:pPr>
    </w:p>
    <w:p>
      <w:pPr>
        <w:ind w:left="1480" w:hanging="231"/>
        <w:spacing w:after="0"/>
        <w:tabs>
          <w:tab w:leader="none" w:pos="148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Amount shown is a sign-on bonus paid to Dr. Diem upon his hire.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33"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The compensation of our NEOs generally consists of base salary, annual cash bonus opportunities, long term incentive compensation in the form of equity awards, and other benefits, as described below.</w:t>
      </w:r>
    </w:p>
    <w:p>
      <w:pPr>
        <w:spacing w:after="0" w:line="29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Base salary</w:t>
      </w:r>
    </w:p>
    <w:p>
      <w:pPr>
        <w:spacing w:after="0" w:line="13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NEOs’ current annual base salary rates are: $477,405 for Dr. Flores, $397,838 for</w:t>
      </w:r>
    </w:p>
    <w:p>
      <w:pPr>
        <w:spacing w:after="0" w:line="1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Dr. Levitsky, and $437,750 for Dr. Diem. These amounts reflect 3% increases to the executives’ annual base salary rates in effect at the end of 2020. Upon completion of this offering and in accordance with the terms of their new employment agreements described below, the NEOs annual base salary rates will increase to $557,000 for Dr. Flores, $430,700 for Dr. Levitsky, and $437,800 for Dr. Diem.</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Annual non-equity incentives</w:t>
      </w:r>
    </w:p>
    <w:p>
      <w:pPr>
        <w:spacing w:after="0" w:line="13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Each of our NEOs’ annual non-equity incentive opportunity is expressed as a percentage of base salary that can be earned based on the achievement of predetermined corporate and individual performance objectives. The 2020 target bonus opportunities for Dr. Flores, Dr. Levitsky, and Dr. Diem were 40%, 30%, and 40% of their respective base salaries.</w:t>
      </w:r>
    </w:p>
    <w:p>
      <w:pPr>
        <w:spacing w:after="0" w:line="105"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Long term equity incentives</w:t>
      </w:r>
    </w:p>
    <w:p>
      <w:pPr>
        <w:spacing w:after="0" w:line="142"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and 2021. See “—Outstanding Equity Awards at Fiscal Year-End” for more information regarding equity awards made in 2020 to our NEOs.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arrangements with our NEOs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Osvaldo Flores, Ph.D.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2018, we entered into an employment offer letter with Dr. Flores.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Flores’ at-will employment and set forth his initial annual base salary of $450,000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his initial target annual bonus opportunity at 30% of base salary. The offer letter also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the issuance of a restricted stock award to Dr. Flores, or the 2018 Restricted Shares,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for an opportunity for Dr. Flores to receive certain stock options in the future, upon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achievement of certain performance conditions. The 2018 Restricted Shares were granted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Dr. Flores in September 2018. In lieu of the stock options discussed in the offer letter, we granted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stock options to Dr. Flores in October 2020. See “—Outstanding Equity Awards at Fiscal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End” for additional details regarding the 2018 Restricted Shares and the 2020 stock options.</w:t>
      </w:r>
    </w:p>
    <w:p>
      <w:pPr>
        <w:spacing w:after="0" w:line="139"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88"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ind w:left="1240" w:right="1279"/>
        <w:spacing w:after="0" w:line="290" w:lineRule="auto"/>
        <w:rPr>
          <w:rFonts w:ascii="Arial" w:cs="Arial" w:eastAsia="Arial" w:hAnsi="Arial"/>
          <w:sz w:val="14"/>
          <w:szCs w:val="14"/>
          <w:color w:val="auto"/>
        </w:rPr>
      </w:pPr>
      <w:r>
        <w:rPr>
          <w:rFonts w:ascii="Arial" w:cs="Arial" w:eastAsia="Arial" w:hAnsi="Arial"/>
          <w:sz w:val="14"/>
          <w:szCs w:val="14"/>
          <w:color w:val="auto"/>
        </w:rPr>
        <w:t xml:space="preserve">Dr. Flores, that will be effective upon closing of the offering, and replace his employment offer letter. The new employment agreement provides for Dr. Flores’ at-will employment and sets forth an annual base salary of $557,000, a target annual bonus opportunity at 50% of base salary, and eligibility to participate generally in our employee benefit plans. In addition, Dr. Flores has entered into a Proprietary Information and Assignment Agreement in connection with this offering, described below on page </w:t>
      </w:r>
      <w:hyperlink w:anchor="page179">
        <w:r>
          <w:rPr>
            <w:rFonts w:ascii="Arial" w:cs="Arial" w:eastAsia="Arial" w:hAnsi="Arial"/>
            <w:sz w:val="14"/>
            <w:szCs w:val="14"/>
            <w:u w:val="single" w:color="auto"/>
            <w:color w:val="0000EE"/>
          </w:rPr>
          <w:t>166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greater detail.</w:t>
      </w:r>
    </w:p>
    <w:p>
      <w:pPr>
        <w:spacing w:after="0" w:line="96" w:lineRule="exact"/>
        <w:rPr>
          <w:sz w:val="20"/>
          <w:szCs w:val="20"/>
          <w:color w:val="auto"/>
        </w:rPr>
      </w:pPr>
    </w:p>
    <w:p>
      <w:pPr>
        <w:ind w:left="1240" w:right="1319"/>
        <w:spacing w:after="0" w:line="288" w:lineRule="auto"/>
        <w:rPr>
          <w:sz w:val="20"/>
          <w:szCs w:val="20"/>
          <w:color w:val="auto"/>
        </w:rPr>
      </w:pPr>
      <w:r>
        <w:rPr>
          <w:rFonts w:ascii="Arial" w:cs="Arial" w:eastAsia="Arial" w:hAnsi="Arial"/>
          <w:sz w:val="14"/>
          <w:szCs w:val="14"/>
          <w:color w:val="auto"/>
        </w:rPr>
        <w:t>Dr. Flores’ new employment agreement provides for severance benefits upon a termination of his employment by us without cause, or his resignation for good reason, subject to Dr. Flores’ execution of a general release of claims. The severance benefits are: (i) payment of all accrued and unpaid base salary, (ii) payment of any otherwise earned but unpaid annual bonus for the prior year, (iii) payment of pro-rata bonus for the year of termination, and (iv) continuation of his base salary and COBRA premiums paid by us for twelve (12) months. In addition, if such termination without “cause” or for “good reason” occurs within the three (3) month period prior to or the twelve (12) month period immediately following a change in control, then Dr. Flores’ salary and COBRA continuation period will be extended from twelve (12) months to eighteen (18) months, and he will receive a lump sum payment in an amount equal to his target annual bonus, and all outstanding equity awards subject to vesting solely based on the passage of time and Dr. Flores’ continued employment will become vested on the later of Dr. Flores’ termination date and the change in control.</w:t>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Hyam Levitsky, M.D.</w:t>
      </w:r>
    </w:p>
    <w:p>
      <w:pPr>
        <w:spacing w:after="0" w:line="144" w:lineRule="exact"/>
        <w:rPr>
          <w:sz w:val="20"/>
          <w:szCs w:val="20"/>
          <w:color w:val="auto"/>
        </w:rPr>
      </w:pPr>
    </w:p>
    <w:p>
      <w:pPr>
        <w:ind w:left="1240" w:right="1659"/>
        <w:spacing w:after="0" w:line="287" w:lineRule="auto"/>
        <w:rPr>
          <w:sz w:val="20"/>
          <w:szCs w:val="20"/>
          <w:color w:val="auto"/>
        </w:rPr>
      </w:pPr>
      <w:r>
        <w:rPr>
          <w:rFonts w:ascii="Arial" w:cs="Arial" w:eastAsia="Arial" w:hAnsi="Arial"/>
          <w:sz w:val="14"/>
          <w:szCs w:val="14"/>
          <w:color w:val="auto"/>
        </w:rPr>
        <w:t>In March 2019, we entered into an employment agreement with Dr. Levitsky. The agreement provided for Dr. Levitsky’s at-will employment and set forth his initial annual base salary of:</w:t>
      </w:r>
    </w:p>
    <w:p>
      <w:pPr>
        <w:ind w:left="1240" w:right="1279" w:firstLine="9"/>
        <w:spacing w:after="0" w:line="288" w:lineRule="auto"/>
        <w:tabs>
          <w:tab w:leader="none" w:pos="1421" w:val="left"/>
        </w:tabs>
        <w:numPr>
          <w:ilvl w:val="0"/>
          <w:numId w:val="92"/>
        </w:numPr>
        <w:rPr>
          <w:rFonts w:ascii="Arial" w:cs="Arial" w:eastAsia="Arial" w:hAnsi="Arial"/>
          <w:sz w:val="14"/>
          <w:szCs w:val="14"/>
          <w:color w:val="auto"/>
        </w:rPr>
      </w:pPr>
      <w:r>
        <w:rPr>
          <w:rFonts w:ascii="Arial" w:cs="Arial" w:eastAsia="Arial" w:hAnsi="Arial"/>
          <w:sz w:val="14"/>
          <w:szCs w:val="14"/>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 July 2019 at a price equal to what the option exercise price otherwise would have been. See “—Outstanding Equity Awards at Fiscal Year-End” for additional details regarding this restricted stock award. Dr. Levitsky’s employment agreement provides for a severance benefit of three (3) months of salary continuation following a termination of his employment by us without cause, subject to his execution of a general release of claims.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jc w:val="both"/>
        <w:ind w:left="1240" w:right="1399"/>
        <w:spacing w:after="0" w:line="287" w:lineRule="auto"/>
        <w:rPr>
          <w:sz w:val="20"/>
          <w:szCs w:val="20"/>
          <w:color w:val="auto"/>
        </w:rPr>
      </w:pPr>
      <w:r>
        <w:rPr>
          <w:rFonts w:ascii="Arial" w:cs="Arial" w:eastAsia="Arial" w:hAnsi="Arial"/>
          <w:sz w:val="14"/>
          <w:szCs w:val="14"/>
          <w:color w:val="auto"/>
        </w:rPr>
        <w:t>Dr. Levitsky, that will be effective upon closing of the offering and replace his prior employment agreement. The new employment agreement provides for Dr. Levitsky’s at-will employment and sets forth his annual base salary of $430,700, a target annual bonus opportunity at 40% of base salary, and eligibility to participate generally in our employee benefit plans. In addition, Dr.</w:t>
      </w:r>
    </w:p>
    <w:p>
      <w:pPr>
        <w:spacing w:after="0" w:line="1" w:lineRule="exact"/>
        <w:rPr>
          <w:sz w:val="20"/>
          <w:szCs w:val="20"/>
          <w:color w:val="auto"/>
        </w:rPr>
      </w:pPr>
    </w:p>
    <w:p>
      <w:pPr>
        <w:ind w:left="1240" w:right="1259"/>
        <w:spacing w:after="0" w:line="302" w:lineRule="auto"/>
        <w:rPr>
          <w:rFonts w:ascii="Arial" w:cs="Arial" w:eastAsia="Arial" w:hAnsi="Arial"/>
          <w:sz w:val="14"/>
          <w:szCs w:val="14"/>
          <w:color w:val="auto"/>
        </w:rPr>
      </w:pPr>
      <w:r>
        <w:rPr>
          <w:rFonts w:ascii="Arial" w:cs="Arial" w:eastAsia="Arial" w:hAnsi="Arial"/>
          <w:sz w:val="14"/>
          <w:szCs w:val="14"/>
          <w:color w:val="auto"/>
        </w:rPr>
        <w:t xml:space="preserve">Levitsky has entered into a new Proprietary Information and Assignment Agreement in connection with this offering, as described below on page </w:t>
      </w:r>
      <w:hyperlink w:anchor="page179">
        <w:r>
          <w:rPr>
            <w:rFonts w:ascii="Arial" w:cs="Arial" w:eastAsia="Arial" w:hAnsi="Arial"/>
            <w:sz w:val="14"/>
            <w:szCs w:val="14"/>
            <w:u w:val="single" w:color="auto"/>
            <w:color w:val="0000EE"/>
          </w:rPr>
          <w:t>166</w:t>
        </w:r>
      </w:hyperlink>
      <w:r>
        <w:rPr>
          <w:rFonts w:ascii="Arial" w:cs="Arial" w:eastAsia="Arial" w:hAnsi="Arial"/>
          <w:sz w:val="14"/>
          <w:szCs w:val="14"/>
          <w:color w:val="auto"/>
        </w:rPr>
        <w:t>.</w:t>
      </w:r>
    </w:p>
    <w:p>
      <w:pPr>
        <w:spacing w:after="0" w:line="87" w:lineRule="exact"/>
        <w:rPr>
          <w:sz w:val="20"/>
          <w:szCs w:val="20"/>
          <w:color w:val="auto"/>
        </w:rPr>
      </w:pPr>
    </w:p>
    <w:p>
      <w:pPr>
        <w:ind w:left="1240" w:right="1339"/>
        <w:spacing w:after="0" w:line="288" w:lineRule="auto"/>
        <w:rPr>
          <w:sz w:val="20"/>
          <w:szCs w:val="20"/>
          <w:color w:val="auto"/>
        </w:rPr>
      </w:pPr>
      <w:r>
        <w:rPr>
          <w:rFonts w:ascii="Arial" w:cs="Arial" w:eastAsia="Arial" w:hAnsi="Arial"/>
          <w:sz w:val="14"/>
          <w:szCs w:val="14"/>
          <w:color w:val="auto"/>
        </w:rPr>
        <w:t>Dr. Levitsky’s new employment agreement provides for severance benefits upon a termination of his employment by us without cause, or his resignation for good reason, subject to Dr. Levitsky’s execution of a general release of claims. The severance benefits are: (i) payment of all accrued and unpaid base salary, (ii) payment of any otherwise earned but unpaid annual bonus for the prior year, and (iii) payment of pro-rata bonus for the year of termination, and (iv) continuation of his base salary and COBRA premiums paid by us for nine (9) months. In addition, if such termination without “cause” or for “good reason” occurs within the three (3) month period prior to or twelve (12) month period immediately following a change in control, Dr. Levitsky’s salary and COBRA continuation period will be extended from nine (9) months to twelve (12) months, and he will receive a lump sum payment in an amount equal to his target annual bonus and all outstanding equity awards subject to vesting solely based on the passage of time and Dr. Levitsky’s continued employment will become vested on the later of Dr. Levitsky’s termination date and the change in control.</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Michael Diem, M.D.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2020, we entered into an employment offer letter with Dr. Diem.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Diem’s at-will employment and set forth his initial annual base salary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$425,000, his initial target annual bonus opportunity of up to 40% of base salary (pro-rated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any partial years of employment), and a sign-on bonus of $125,000; however, if terminated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cause or if Dr. Diem resigns within 12 months of September 16, 2020, his start date, the sign-on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bonus must be repaid in full (in the case of termination for cause) or on a pro-rata basis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case of resignation) within 30 days of his termination date. The offer letter also provided for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issuance of a stock option to purchase shares of our common stock and his eligibility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participate in our employee benefit plans. See “—Outstanding Equity Awards at Fiscal Year-End”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for additional details regarding the stock option granted to Dr. Diem in connection with his hire.</w:t>
      </w:r>
    </w:p>
    <w:p>
      <w:pPr>
        <w:spacing w:after="0" w:line="139" w:lineRule="exact"/>
        <w:rPr>
          <w:sz w:val="20"/>
          <w:szCs w:val="20"/>
          <w:color w:val="auto"/>
        </w:rPr>
      </w:pPr>
    </w:p>
    <w:p>
      <w:pPr>
        <w:ind w:left="1240" w:right="1279"/>
        <w:spacing w:after="0" w:line="273" w:lineRule="auto"/>
        <w:rPr>
          <w:rFonts w:ascii="Arial" w:cs="Arial" w:eastAsia="Arial" w:hAnsi="Arial"/>
          <w:sz w:val="14"/>
          <w:szCs w:val="14"/>
          <w:color w:val="auto"/>
        </w:rPr>
      </w:pPr>
      <w:r>
        <w:rPr>
          <w:rFonts w:ascii="Arial" w:cs="Arial" w:eastAsia="Arial" w:hAnsi="Arial"/>
          <w:sz w:val="14"/>
          <w:szCs w:val="14"/>
          <w:color w:val="auto"/>
        </w:rPr>
        <w:t xml:space="preserve">In connection with this offering, we have entered into a new employment agreement with Dr. Diem, that will be effective upon closing of the offering and replace his employment offer letter. The new employment agreement provides for Dr. Diem’s at-will employment and sets forth an annual base salary of $437,800, a target annual bonus opportunity at 40% of base salary, and eligibility to participate generally in employee benefit plans. The new employment agreement also provides that, if Dr. Diem is terminated for cause or if Dr. Diem resigns prior to September 16, 2021 (the first anniversary of his start date), the sign-on bonus repayment obligation described in the preceding paragraph will apply. Dr. Diem’s new employment agreement provides for the same severance benefits as those provided under Dr. Levitsky’s new employment agreement, described on page </w:t>
      </w:r>
      <w:hyperlink w:anchor="page178">
        <w:r>
          <w:rPr>
            <w:rFonts w:ascii="Arial" w:cs="Arial" w:eastAsia="Arial" w:hAnsi="Arial"/>
            <w:sz w:val="14"/>
            <w:szCs w:val="14"/>
            <w:u w:val="single" w:color="auto"/>
            <w:color w:val="0000EE"/>
          </w:rPr>
          <w:t>165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above. In addition, Dr. Diem has entered into a new Proprietary Information and Assignment Agreement in connection with this offering, as described immediately below.</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information and assignment agreements</w:t>
      </w:r>
    </w:p>
    <w:p>
      <w:pPr>
        <w:spacing w:after="0" w:line="14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Each of Dr. Levitsky and Dr. Diem has previously entered into a Proprietary Information and Assignment Agreement with us that includes customary provisions regarding confidentiality and ownership of intellectual property, and certain restrictive covenants that apply for a period of one year following any cessation of employment. In connection with this offering and our entry into new employment agreements with the NEOs, each NEO entered into a new Proprietary Information and Assignment Agreement. These new Proprietary Information and Assignment Agreements include customary prohibitions against competition with us and solicitation of our customers and employees, both during employment and for one year following any cessation of employment for Dr. Flores and for nine months following cessation of employment for each of Dr. Levitsky and Dr. Diem. The Proprietary Information and Assignment Agreement are incorporated by reference into the new employment agreements and payment of any severance benefits under each executive’s new employment agreement is conditioned on continued compliance with his Proprietary Information and Assignment Agreement.</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information regarding the outstanding equity awards held by our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NEOs as of December 31, 2020. All awards were granted pursuant to the 2018 Plan. See “—</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Incentive Plans—2018 Plan”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419735</wp:posOffset>
            </wp:positionV>
            <wp:extent cx="523621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3621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459"/>
        <w:spacing w:after="0"/>
        <w:tabs>
          <w:tab w:leader="none" w:pos="84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3"/>
          <w:szCs w:val="13"/>
          <w:b w:val="1"/>
          <w:bCs w:val="1"/>
          <w:color w:val="auto"/>
        </w:rPr>
        <w:t>Stock awards</w:t>
      </w:r>
    </w:p>
    <w:p>
      <w:pPr>
        <w:sectPr>
          <w:pgSz w:w="11900" w:h="16838" w:orient="portrait"/>
          <w:cols w:equalWidth="0" w:num="1">
            <w:col w:w="9019"/>
          </w:cols>
          <w:pgMar w:left="1440" w:top="134" w:right="1440" w:bottom="1440" w:gutter="0" w:footer="0" w:header="0"/>
        </w:sectPr>
      </w:pP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Equity</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incentive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right"/>
              <w:ind w:right="36"/>
              <w:spacing w:after="0" w:line="139" w:lineRule="exact"/>
              <w:rPr>
                <w:sz w:val="20"/>
                <w:szCs w:val="20"/>
                <w:color w:val="auto"/>
              </w:rPr>
            </w:pPr>
            <w:r>
              <w:rPr>
                <w:rFonts w:ascii="Arial" w:cs="Arial" w:eastAsia="Arial" w:hAnsi="Arial"/>
                <w:sz w:val="13"/>
                <w:szCs w:val="13"/>
                <w:b w:val="1"/>
                <w:bCs w:val="1"/>
                <w:color w:val="auto"/>
              </w:rPr>
              <w:t>plan awards: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or units of</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Option</w:t>
            </w:r>
          </w:p>
        </w:tc>
        <w:tc>
          <w:tcPr>
            <w:tcW w:w="1980" w:type="dxa"/>
            <w:vAlign w:val="bottom"/>
            <w:gridSpan w:val="3"/>
          </w:tcPr>
          <w:p>
            <w:pPr>
              <w:jc w:val="right"/>
              <w:spacing w:after="0"/>
              <w:rPr>
                <w:sz w:val="20"/>
                <w:szCs w:val="20"/>
                <w:color w:val="auto"/>
              </w:rPr>
            </w:pPr>
            <w:r>
              <w:rPr>
                <w:rFonts w:ascii="Arial" w:cs="Arial" w:eastAsia="Arial" w:hAnsi="Arial"/>
                <w:sz w:val="13"/>
                <w:szCs w:val="13"/>
                <w:b w:val="1"/>
                <w:bCs w:val="1"/>
                <w:color w:val="auto"/>
              </w:rPr>
              <w:t>Option stock that stock that</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20"/>
                <w:szCs w:val="20"/>
                <w:color w:val="auto"/>
              </w:rPr>
            </w:pPr>
            <w:r>
              <w:rPr>
                <w:rFonts w:ascii="Arial" w:cs="Arial" w:eastAsia="Arial" w:hAnsi="Arial"/>
                <w:sz w:val="13"/>
                <w:szCs w:val="13"/>
                <w:b w:val="1"/>
                <w:bCs w:val="1"/>
                <w:color w:val="auto"/>
              </w:rPr>
              <w:t>Name and</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21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unearned exercise expiration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3"/>
        </w:trPr>
        <w:tc>
          <w:tcPr>
            <w:tcW w:w="720" w:type="dxa"/>
            <w:vAlign w:val="bottom"/>
          </w:tcPr>
          <w:p>
            <w:pPr>
              <w:spacing w:after="0" w:line="143" w:lineRule="exact"/>
              <w:rPr>
                <w:sz w:val="20"/>
                <w:szCs w:val="20"/>
                <w:color w:val="auto"/>
              </w:rPr>
            </w:pPr>
            <w:r>
              <w:rPr>
                <w:rFonts w:ascii="Arial" w:cs="Arial" w:eastAsia="Arial" w:hAnsi="Arial"/>
                <w:sz w:val="13"/>
                <w:szCs w:val="13"/>
                <w:b w:val="1"/>
                <w:bCs w:val="1"/>
                <w:color w:val="auto"/>
              </w:rPr>
              <w:t>principal</w:t>
            </w:r>
          </w:p>
        </w:tc>
        <w:tc>
          <w:tcPr>
            <w:tcW w:w="186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exercisable unexercisable</w:t>
            </w:r>
          </w:p>
        </w:tc>
        <w:tc>
          <w:tcPr>
            <w:tcW w:w="920" w:type="dxa"/>
            <w:vAlign w:val="bottom"/>
          </w:tcPr>
          <w:p>
            <w:pPr>
              <w:jc w:val="right"/>
              <w:ind w:right="36"/>
              <w:spacing w:after="0" w:line="143" w:lineRule="exact"/>
              <w:rPr>
                <w:sz w:val="20"/>
                <w:szCs w:val="20"/>
                <w:color w:val="auto"/>
              </w:rPr>
            </w:pPr>
            <w:r>
              <w:rPr>
                <w:rFonts w:ascii="Arial" w:cs="Arial" w:eastAsia="Arial" w:hAnsi="Arial"/>
                <w:sz w:val="13"/>
                <w:szCs w:val="13"/>
                <w:b w:val="1"/>
                <w:bCs w:val="1"/>
                <w:color w:val="auto"/>
              </w:rPr>
              <w:t>options</w:t>
            </w:r>
          </w:p>
        </w:tc>
        <w:tc>
          <w:tcPr>
            <w:tcW w:w="640" w:type="dxa"/>
            <w:vAlign w:val="bottom"/>
          </w:tcPr>
          <w:p>
            <w:pPr>
              <w:jc w:val="right"/>
              <w:ind w:right="76"/>
              <w:spacing w:after="0" w:line="143" w:lineRule="exact"/>
              <w:rPr>
                <w:sz w:val="20"/>
                <w:szCs w:val="20"/>
                <w:color w:val="auto"/>
              </w:rPr>
            </w:pPr>
            <w:r>
              <w:rPr>
                <w:rFonts w:ascii="Arial" w:cs="Arial" w:eastAsia="Arial" w:hAnsi="Arial"/>
                <w:sz w:val="13"/>
                <w:szCs w:val="13"/>
                <w:b w:val="1"/>
                <w:bCs w:val="1"/>
                <w:color w:val="auto"/>
              </w:rPr>
              <w:t>price</w:t>
            </w:r>
          </w:p>
        </w:tc>
        <w:tc>
          <w:tcPr>
            <w:tcW w:w="6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date</w:t>
            </w:r>
          </w:p>
        </w:tc>
        <w:tc>
          <w:tcPr>
            <w:tcW w:w="7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6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0"/>
        </w:trPr>
        <w:tc>
          <w:tcPr>
            <w:tcW w:w="720" w:type="dxa"/>
            <w:vAlign w:val="bottom"/>
          </w:tcPr>
          <w:p>
            <w:pPr>
              <w:spacing w:after="0"/>
              <w:rPr>
                <w:sz w:val="20"/>
                <w:szCs w:val="20"/>
                <w:color w:val="auto"/>
              </w:rPr>
            </w:pPr>
            <w:r>
              <w:rPr>
                <w:rFonts w:ascii="Arial" w:cs="Arial" w:eastAsia="Arial" w:hAnsi="Arial"/>
                <w:sz w:val="13"/>
                <w:szCs w:val="13"/>
                <w:b w:val="1"/>
                <w:bCs w:val="1"/>
                <w:color w:val="auto"/>
              </w:rPr>
              <w:t>(a)</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640" w:type="dxa"/>
            <w:vAlign w:val="bottom"/>
          </w:tcPr>
          <w:p>
            <w:pPr>
              <w:jc w:val="right"/>
              <w:ind w:right="56"/>
              <w:spacing w:after="0"/>
              <w:rPr>
                <w:sz w:val="20"/>
                <w:szCs w:val="20"/>
                <w:color w:val="auto"/>
              </w:rPr>
            </w:pPr>
            <w:r>
              <w:rPr>
                <w:rFonts w:ascii="Arial" w:cs="Arial" w:eastAsia="Arial" w:hAnsi="Arial"/>
                <w:sz w:val="13"/>
                <w:szCs w:val="13"/>
                <w:b w:val="1"/>
                <w:bCs w:val="1"/>
                <w:color w:val="auto"/>
              </w:rPr>
              <w:t>(e)</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3175</wp:posOffset>
            </wp:positionV>
            <wp:extent cx="5236210" cy="3467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36210" cy="34671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-1057275</wp:posOffset>
            </wp:positionV>
            <wp:extent cx="472630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263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right"/>
        <w:ind w:left="180" w:right="179"/>
        <w:spacing w:after="0" w:line="247" w:lineRule="auto"/>
        <w:rPr>
          <w:sz w:val="20"/>
          <w:szCs w:val="20"/>
          <w:color w:val="auto"/>
        </w:rPr>
      </w:pPr>
      <w:r>
        <w:rPr>
          <w:rFonts w:ascii="Arial" w:cs="Arial" w:eastAsia="Arial" w:hAnsi="Arial"/>
          <w:sz w:val="13"/>
          <w:szCs w:val="13"/>
          <w:b w:val="1"/>
          <w:bCs w:val="1"/>
          <w:color w:val="auto"/>
        </w:rPr>
        <w:t>Equity         Equity incentive  incentive plan plan awards: awards: market number of or payout value</w:t>
      </w:r>
    </w:p>
    <w:p>
      <w:pPr>
        <w:jc w:val="both"/>
        <w:ind w:right="179" w:firstLine="404"/>
        <w:spacing w:after="0"/>
        <w:rPr>
          <w:sz w:val="20"/>
          <w:szCs w:val="20"/>
          <w:color w:val="auto"/>
        </w:rPr>
      </w:pPr>
      <w:r>
        <w:rPr>
          <w:rFonts w:ascii="Arial" w:cs="Arial" w:eastAsia="Arial" w:hAnsi="Arial"/>
          <w:sz w:val="13"/>
          <w:szCs w:val="13"/>
          <w:b w:val="1"/>
          <w:bCs w:val="1"/>
          <w:color w:val="auto"/>
        </w:rPr>
        <w:t>unearned of unearned shares, units or shares, units or</w:t>
      </w:r>
    </w:p>
    <w:tbl>
      <w:tblPr>
        <w:tblLayout w:type="fixed"/>
        <w:tblInd w:w="160" w:type="dxa"/>
        <w:tblCellMar>
          <w:top w:w="0" w:type="dxa"/>
          <w:left w:w="0" w:type="dxa"/>
          <w:bottom w:w="0" w:type="dxa"/>
          <w:right w:w="0" w:type="dxa"/>
        </w:tblCellMar>
      </w:tblPr>
      <w:tr>
        <w:trPr>
          <w:trHeight w:val="135"/>
        </w:trPr>
        <w:tc>
          <w:tcPr>
            <w:tcW w:w="980" w:type="dxa"/>
            <w:vAlign w:val="bottom"/>
          </w:tcPr>
          <w:p>
            <w:pPr>
              <w:jc w:val="right"/>
              <w:ind w:right="76"/>
              <w:spacing w:after="0" w:line="135" w:lineRule="exact"/>
              <w:rPr>
                <w:sz w:val="20"/>
                <w:szCs w:val="20"/>
                <w:color w:val="auto"/>
              </w:rPr>
            </w:pPr>
            <w:r>
              <w:rPr>
                <w:rFonts w:ascii="Arial" w:cs="Arial" w:eastAsia="Arial" w:hAnsi="Arial"/>
                <w:sz w:val="13"/>
                <w:szCs w:val="13"/>
                <w:b w:val="1"/>
                <w:bCs w:val="1"/>
                <w:color w:val="auto"/>
              </w:rPr>
              <w:t>other rights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other rights</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that have not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(i)</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(j)</w:t>
            </w:r>
          </w:p>
        </w:tc>
      </w:tr>
    </w:tbl>
    <w:p>
      <w:pPr>
        <w:spacing w:after="0" w:line="1" w:lineRule="exact"/>
        <w:rPr>
          <w:sz w:val="20"/>
          <w:szCs w:val="20"/>
          <w:color w:val="auto"/>
        </w:rPr>
      </w:pPr>
    </w:p>
    <w:p>
      <w:pPr>
        <w:sectPr>
          <w:pgSz w:w="11900" w:h="16838" w:orient="portrait"/>
          <w:cols w:equalWidth="0" w:num="2">
            <w:col w:w="6760" w:space="20"/>
            <w:col w:w="2239"/>
          </w:cols>
          <w:pgMar w:left="1440" w:top="134" w:right="1440" w:bottom="1440" w:gutter="0" w:footer="0" w:header="0"/>
          <w:type w:val="continuous"/>
        </w:sectPr>
      </w:pPr>
    </w:p>
    <w:tbl>
      <w:tblPr>
        <w:tblLayout w:type="fixed"/>
        <w:tblInd w:w="640" w:type="dxa"/>
        <w:tblCellMar>
          <w:top w:w="0" w:type="dxa"/>
          <w:left w:w="0" w:type="dxa"/>
          <w:bottom w:w="0" w:type="dxa"/>
          <w:right w:w="0" w:type="dxa"/>
        </w:tblCellMar>
      </w:tblPr>
      <w:tr>
        <w:trPr>
          <w:trHeight w:val="162"/>
        </w:trPr>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Osvaldo</w:t>
            </w:r>
          </w:p>
        </w:tc>
        <w:tc>
          <w:tcPr>
            <w:tcW w:w="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Flores,</w:t>
            </w:r>
          </w:p>
        </w:tc>
        <w:tc>
          <w:tcPr>
            <w:tcW w:w="680" w:type="dxa"/>
            <w:vAlign w:val="bottom"/>
          </w:tcPr>
          <w:p>
            <w:pPr>
              <w:spacing w:after="0"/>
              <w:rPr>
                <w:sz w:val="14"/>
                <w:szCs w:val="14"/>
                <w:color w:val="auto"/>
              </w:rPr>
            </w:pP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(2)</w:t>
            </w: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Ph.D.</w:t>
            </w: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vMerge w:val="continue"/>
          </w:tcPr>
          <w:p>
            <w:pPr>
              <w:spacing w:after="0"/>
              <w:rPr>
                <w:sz w:val="17"/>
                <w:szCs w:val="17"/>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(3)</w:t>
            </w: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3"/>
                <w:szCs w:val="13"/>
                <w:color w:val="auto"/>
              </w:rPr>
              <w:t>Hyam</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0" w:type="dxa"/>
            <w:vAlign w:val="bottom"/>
          </w:tcPr>
          <w:p>
            <w:pPr>
              <w:jc w:val="right"/>
              <w:ind w:right="2056"/>
              <w:spacing w:after="0"/>
              <w:rPr>
                <w:sz w:val="20"/>
                <w:szCs w:val="20"/>
                <w:color w:val="auto"/>
              </w:rPr>
            </w:pPr>
            <w:r>
              <w:rPr>
                <w:rFonts w:ascii="Arial" w:cs="Arial" w:eastAsia="Arial" w:hAnsi="Arial"/>
                <w:sz w:val="13"/>
                <w:szCs w:val="13"/>
                <w:color w:val="auto"/>
              </w:rPr>
              <w:t>484,791</w:t>
            </w:r>
            <w:r>
              <w:rPr>
                <w:rFonts w:ascii="Arial" w:cs="Arial" w:eastAsia="Arial" w:hAnsi="Arial"/>
                <w:sz w:val="19"/>
                <w:szCs w:val="19"/>
                <w:color w:val="auto"/>
                <w:vertAlign w:val="superscript"/>
              </w:rPr>
              <w:t>(4)</w:t>
            </w:r>
            <w:r>
              <w:rPr>
                <w:rFonts w:ascii="Arial" w:cs="Arial" w:eastAsia="Arial" w:hAnsi="Arial"/>
                <w:sz w:val="13"/>
                <w:szCs w:val="13"/>
                <w:color w:val="auto"/>
              </w:rPr>
              <w:t>841,651.66</w:t>
            </w: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Levitsky,</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vMerge w:val="restart"/>
          </w:tcPr>
          <w:p>
            <w:pPr>
              <w:jc w:val="right"/>
              <w:ind w:right="2056"/>
              <w:spacing w:after="0"/>
              <w:rPr>
                <w:sz w:val="20"/>
                <w:szCs w:val="20"/>
                <w:color w:val="auto"/>
              </w:rPr>
            </w:pPr>
            <w:r>
              <w:rPr>
                <w:rFonts w:ascii="Arial" w:cs="Arial" w:eastAsia="Arial" w:hAnsi="Arial"/>
                <w:sz w:val="13"/>
                <w:szCs w:val="13"/>
                <w:color w:val="auto"/>
              </w:rPr>
              <w:t>324,162</w:t>
            </w:r>
            <w:r>
              <w:rPr>
                <w:rFonts w:ascii="Arial" w:cs="Arial" w:eastAsia="Arial" w:hAnsi="Arial"/>
                <w:sz w:val="19"/>
                <w:szCs w:val="19"/>
                <w:color w:val="auto"/>
                <w:vertAlign w:val="superscript"/>
              </w:rPr>
              <w:t>(5)</w:t>
            </w:r>
            <w:r>
              <w:rPr>
                <w:rFonts w:ascii="Arial" w:cs="Arial" w:eastAsia="Arial" w:hAnsi="Arial"/>
                <w:sz w:val="13"/>
                <w:szCs w:val="13"/>
                <w:color w:val="auto"/>
              </w:rPr>
              <w:t>562,781.25</w:t>
            </w: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M.D.</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Michael</w:t>
            </w: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371,092</w:t>
            </w:r>
            <w:r>
              <w:rPr>
                <w:rFonts w:ascii="Arial" w:cs="Arial" w:eastAsia="Arial" w:hAnsi="Arial"/>
                <w:sz w:val="19"/>
                <w:szCs w:val="19"/>
                <w:color w:val="auto"/>
                <w:vertAlign w:val="superscript"/>
              </w:rPr>
              <w:t>(6)</w:t>
            </w:r>
          </w:p>
        </w:tc>
        <w:tc>
          <w:tcPr>
            <w:tcW w:w="4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Diem, M.D.</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600" w:type="dxa"/>
            <w:vAlign w:val="bottom"/>
            <w:tcBorders>
              <w:bottom w:val="single" w:sz="8" w:color="auto"/>
            </w:tcBorders>
            <w:shd w:val="clear" w:color="auto" w:fill="CCEEFF"/>
          </w:tcPr>
          <w:p>
            <w:pPr>
              <w:jc w:val="right"/>
              <w:ind w:right="3496"/>
              <w:spacing w:after="0"/>
              <w:rPr>
                <w:sz w:val="20"/>
                <w:szCs w:val="20"/>
                <w:color w:val="auto"/>
              </w:rPr>
            </w:pPr>
            <w:r>
              <w:rPr>
                <w:rFonts w:ascii="Arial" w:cs="Arial" w:eastAsia="Arial" w:hAnsi="Arial"/>
                <w:sz w:val="13"/>
                <w:szCs w:val="13"/>
                <w:color w:val="auto"/>
              </w:rPr>
              <w:t>1.74 9/30/2030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-720090</wp:posOffset>
            </wp:positionV>
            <wp:extent cx="5236210" cy="1225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36210" cy="122555"/>
                    </a:xfrm>
                    <a:prstGeom prst="rect">
                      <a:avLst/>
                    </a:prstGeom>
                    <a:noFill/>
                  </pic:spPr>
                </pic:pic>
              </a:graphicData>
            </a:graphic>
          </wp:anchor>
        </w:drawing>
      </w:r>
    </w:p>
    <w:p>
      <w:pPr>
        <w:spacing w:after="0" w:line="151" w:lineRule="exact"/>
        <w:rPr>
          <w:sz w:val="20"/>
          <w:szCs w:val="20"/>
          <w:color w:val="auto"/>
        </w:rPr>
      </w:pPr>
    </w:p>
    <w:p>
      <w:pPr>
        <w:ind w:left="1240" w:right="1439" w:firstLine="9"/>
        <w:spacing w:after="0" w:line="234" w:lineRule="auto"/>
        <w:tabs>
          <w:tab w:leader="none" w:pos="1476" w:val="left"/>
        </w:tabs>
        <w:numPr>
          <w:ilvl w:val="0"/>
          <w:numId w:val="93"/>
        </w:numPr>
        <w:rPr>
          <w:rFonts w:ascii="Arial" w:cs="Arial" w:eastAsia="Arial" w:hAnsi="Arial"/>
          <w:sz w:val="11"/>
          <w:szCs w:val="11"/>
          <w:color w:val="auto"/>
        </w:rPr>
      </w:pPr>
      <w:r>
        <w:rPr>
          <w:rFonts w:ascii="Arial" w:cs="Arial" w:eastAsia="Arial" w:hAnsi="Arial"/>
          <w:sz w:val="11"/>
          <w:szCs w:val="11"/>
          <w:color w:val="auto"/>
        </w:rPr>
        <w:t>For this purpose, the value of each share of Restricted Stock on December 31, 2020 was estimated to be $0.69, based on the most recent independent valuation of our common stock prior to that date.</w:t>
      </w:r>
    </w:p>
    <w:p>
      <w:pPr>
        <w:spacing w:after="0" w:line="42" w:lineRule="exact"/>
        <w:rPr>
          <w:rFonts w:ascii="Arial" w:cs="Arial" w:eastAsia="Arial" w:hAnsi="Arial"/>
          <w:sz w:val="11"/>
          <w:szCs w:val="11"/>
          <w:color w:val="auto"/>
        </w:rPr>
      </w:pPr>
    </w:p>
    <w:p>
      <w:pPr>
        <w:ind w:left="1240" w:right="1399" w:firstLine="9"/>
        <w:spacing w:after="0" w:line="228"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35" w:lineRule="exact"/>
        <w:rPr>
          <w:rFonts w:ascii="Arial" w:cs="Arial" w:eastAsia="Arial" w:hAnsi="Arial"/>
          <w:sz w:val="11"/>
          <w:szCs w:val="11"/>
          <w:color w:val="auto"/>
        </w:rPr>
      </w:pPr>
    </w:p>
    <w:p>
      <w:pPr>
        <w:ind w:left="1480" w:hanging="231"/>
        <w:spacing w:after="0"/>
        <w:tabs>
          <w:tab w:leader="none" w:pos="1480"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will vest upon the first to occur of (a) our closing of a business development transaction prior to June 30, 2021 or</w:t>
      </w:r>
    </w:p>
    <w:p>
      <w:pPr>
        <w:ind w:left="1240" w:right="1299"/>
        <w:spacing w:after="0" w:line="227" w:lineRule="auto"/>
        <w:rPr>
          <w:rFonts w:ascii="Arial" w:cs="Arial" w:eastAsia="Arial" w:hAnsi="Arial"/>
          <w:sz w:val="11"/>
          <w:szCs w:val="11"/>
          <w:color w:val="auto"/>
        </w:rPr>
      </w:pPr>
      <w:r>
        <w:rPr>
          <w:rFonts w:ascii="Arial" w:cs="Arial" w:eastAsia="Arial" w:hAnsi="Arial"/>
          <w:sz w:val="11"/>
          <w:szCs w:val="11"/>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55" w:lineRule="exact"/>
        <w:rPr>
          <w:rFonts w:ascii="Arial" w:cs="Arial" w:eastAsia="Arial" w:hAnsi="Arial"/>
          <w:sz w:val="11"/>
          <w:szCs w:val="11"/>
          <w:color w:val="auto"/>
        </w:rPr>
      </w:pPr>
    </w:p>
    <w:p>
      <w:pPr>
        <w:ind w:left="1240" w:right="1299" w:firstLine="9"/>
        <w:spacing w:after="0" w:line="228"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44" w:lineRule="exact"/>
        <w:rPr>
          <w:rFonts w:ascii="Arial" w:cs="Arial" w:eastAsia="Arial" w:hAnsi="Arial"/>
          <w:sz w:val="11"/>
          <w:szCs w:val="11"/>
          <w:color w:val="auto"/>
        </w:rPr>
      </w:pPr>
    </w:p>
    <w:p>
      <w:pPr>
        <w:ind w:left="1240" w:right="1279" w:firstLine="9"/>
        <w:spacing w:after="0" w:line="227" w:lineRule="auto"/>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44" w:lineRule="exact"/>
        <w:rPr>
          <w:rFonts w:ascii="Arial" w:cs="Arial" w:eastAsia="Arial" w:hAnsi="Arial"/>
          <w:sz w:val="11"/>
          <w:szCs w:val="11"/>
          <w:color w:val="auto"/>
        </w:rPr>
      </w:pPr>
    </w:p>
    <w:p>
      <w:pPr>
        <w:ind w:left="1240" w:right="1339" w:firstLine="9"/>
        <w:spacing w:after="0"/>
        <w:tabs>
          <w:tab w:leader="none" w:pos="147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79,488 restricted shares of common stock subject to the same vesting schedule as the original option, leaving 291,604 options outstanding under this option award.</w:t>
      </w:r>
    </w:p>
    <w:p>
      <w:pPr>
        <w:spacing w:after="0" w:line="2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addition to the equity awards shown in the table above, we made stock option awards on April 14, 2021 to each of Dr. Flores, Dr. Levitsky and Dr. Diem with respect to 777,417, 19,872 and 127,180 shares of our common stock, respectively. The exercise price of each option is $7.27 per share. Each such stock option will vest 25% upon the one-year anniversary of the closing of this offering and 2.0833% per month for the following 36 months, subject to the optionee’s continued service through the applicable vesting date. Our compensation committee made these awards, with input from its independent compensation consultant, to align the NEOs total potential ownership interests with market data.</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2021 Plan</w:t>
      </w:r>
    </w:p>
    <w:p>
      <w:pPr>
        <w:spacing w:after="0" w:line="133"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2021 Plan will become effective upon the effectiveness of the Registration Statement of which this prospectus forms a part. Upon the effectiveness of the 2021 Plan, we will cease granting awards under our 2018 Plan. A summary of the material terms of the 2021 Plan follows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81" w:name="page182"/>
    <w:bookmarkEnd w:id="18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263"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i w:val="1"/>
          <w:iCs w:val="1"/>
          <w:color w:val="auto"/>
        </w:rPr>
        <w:t xml:space="preserve">Shares Subject to 2021 Plan. </w:t>
      </w:r>
      <w:r>
        <w:rPr>
          <w:rFonts w:ascii="Arial" w:cs="Arial" w:eastAsia="Arial" w:hAnsi="Arial"/>
          <w:sz w:val="14"/>
          <w:szCs w:val="14"/>
          <w:color w:val="auto"/>
        </w:rPr>
        <w:t>We will initially reserve 5,640,711 shares of our common stock for</w:t>
      </w:r>
      <w:r>
        <w:rPr>
          <w:rFonts w:ascii="Arial" w:cs="Arial" w:eastAsia="Arial" w:hAnsi="Arial"/>
          <w:sz w:val="14"/>
          <w:szCs w:val="14"/>
          <w:i w:val="1"/>
          <w:iCs w:val="1"/>
          <w:color w:val="auto"/>
        </w:rPr>
        <w:t xml:space="preserve"> </w:t>
      </w:r>
      <w:r>
        <w:rPr>
          <w:rFonts w:ascii="Arial" w:cs="Arial" w:eastAsia="Arial" w:hAnsi="Arial"/>
          <w:sz w:val="14"/>
          <w:szCs w:val="14"/>
          <w:color w:val="auto"/>
        </w:rPr>
        <w:t>issuance under our 2021 Plan. The number of shares reserved for issuance under our 2021 Plan will increase automatically on January 1, 2022 and each anniversary of such date prior to the termination of the 2021 Plan, equal to the lesser of (i) 5% of our shares of common stock issued and outstanding on the last day of the immediately preceding fiscal year and (ii) such smaller number of shares as determined by our board or compensation committee. No more than 16,922,133 shares of our common stock may be issued under the 2021 Plan through incentive stock options.</w:t>
      </w:r>
    </w:p>
    <w:p>
      <w:pPr>
        <w:spacing w:after="0" w:line="288"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shares will be added (or added back) to the shares available for issuance under the 2021 Plan:</w:t>
      </w:r>
    </w:p>
    <w:p>
      <w:pPr>
        <w:spacing w:after="0" w:line="66" w:lineRule="exact"/>
        <w:rPr>
          <w:sz w:val="20"/>
          <w:szCs w:val="20"/>
          <w:color w:val="auto"/>
        </w:rPr>
      </w:pPr>
    </w:p>
    <w:p>
      <w:pPr>
        <w:ind w:left="1360" w:right="159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subject to 2018 Plan or 2021 Plan awards that expire, terminate or are cancelled or forfeited for any reason after the effectiveness of the 2021 Plan;</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the exercise price of an option issued under our 2018 Plan or 2021 Plan; and</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tax withholding obligations related to any award under our 2018 Plan or 2021 Plan.</w:t>
      </w:r>
    </w:p>
    <w:p>
      <w:pPr>
        <w:spacing w:after="0" w:line="98"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However, the total number of shares underlying 2018 Plan awards that may be recycled into the 2021 Plan pursuant to the above-described rules will not exceed 9,305,283 shares.</w:t>
      </w:r>
    </w:p>
    <w:p>
      <w:pPr>
        <w:spacing w:after="0" w:line="98"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Shares of our common stock issued by us through the assumption or substitution of awards in connection with a future acquisition of another entity will not reduce the shares available for issuance under the 2021 Plan.</w:t>
      </w:r>
    </w:p>
    <w:p>
      <w:pPr>
        <w:spacing w:after="0" w:line="80"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2021 Plan will be administered by our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The administrator of the plan will have the authority to, among other things, interpret the plan and award agreements, 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91" w:lineRule="exact"/>
        <w:rPr>
          <w:sz w:val="20"/>
          <w:szCs w:val="20"/>
          <w:color w:val="auto"/>
        </w:rPr>
      </w:pPr>
    </w:p>
    <w:p>
      <w:pPr>
        <w:ind w:left="1240" w:right="1259"/>
        <w:spacing w:after="0" w:line="277"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certain corporate events or transactions (such as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91" w:lineRule="exact"/>
        <w:rPr>
          <w:sz w:val="20"/>
          <w:szCs w:val="20"/>
          <w:color w:val="auto"/>
        </w:rPr>
      </w:pPr>
    </w:p>
    <w:p>
      <w:pPr>
        <w:ind w:left="1240" w:right="1459"/>
        <w:spacing w:after="0" w:line="280"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92" w:lineRule="exact"/>
        <w:rPr>
          <w:sz w:val="20"/>
          <w:szCs w:val="20"/>
          <w:color w:val="auto"/>
        </w:rPr>
      </w:pPr>
    </w:p>
    <w:p>
      <w:pPr>
        <w:jc w:val="both"/>
        <w:ind w:left="1240" w:right="1459"/>
        <w:spacing w:after="0" w:line="278" w:lineRule="auto"/>
        <w:rPr>
          <w:sz w:val="20"/>
          <w:szCs w:val="20"/>
          <w:color w:val="auto"/>
        </w:rPr>
      </w:pPr>
      <w:r>
        <w:rPr>
          <w:rFonts w:ascii="Arial" w:cs="Arial" w:eastAsia="Arial" w:hAnsi="Arial"/>
          <w:sz w:val="14"/>
          <w:szCs w:val="14"/>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91" w:lineRule="exact"/>
        <w:rPr>
          <w:sz w:val="20"/>
          <w:szCs w:val="20"/>
          <w:color w:val="auto"/>
        </w:rPr>
      </w:pPr>
    </w:p>
    <w:p>
      <w:pPr>
        <w:ind w:left="1240" w:right="1279"/>
        <w:spacing w:after="0" w:line="283"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An SAR provides for a payment, in cash or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or a combination of both, to the holder based upon the difference between the fair market value of our common stock on the date of exercise and a predetermined exercise price, multiplied by the number of shares. The base price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of a SAR must be at least the fair market value of a share of our common stock on the date of grant. SARs may not have a term that is longer than ten years from the date of grant.</w:t>
      </w:r>
    </w:p>
    <w:p>
      <w:pPr>
        <w:spacing w:after="0" w:line="7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An RSA is an issuance of shares of our common stock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26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shares of our common stock (or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value of such shares) at a specified time in the future, following the satisfaction of specified service and/or performance conditions.</w:t>
      </w:r>
    </w:p>
    <w:p>
      <w:pPr>
        <w:spacing w:after="0" w:line="82"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i w:val="1"/>
          <w:iCs w:val="1"/>
          <w:color w:val="auto"/>
        </w:rPr>
        <w:t xml:space="preserve">Cash or other stock based awards. </w:t>
      </w:r>
      <w:r>
        <w:rPr>
          <w:rFonts w:ascii="Arial" w:cs="Arial" w:eastAsia="Arial" w:hAnsi="Arial"/>
          <w:sz w:val="14"/>
          <w:szCs w:val="14"/>
          <w:color w:val="auto"/>
        </w:rPr>
        <w:t>Cash or other stock based awards (including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252"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Change in control. </w:t>
      </w:r>
      <w:r>
        <w:rPr>
          <w:rFonts w:ascii="Arial" w:cs="Arial" w:eastAsia="Arial" w:hAnsi="Arial"/>
          <w:sz w:val="14"/>
          <w:szCs w:val="14"/>
          <w:color w:val="auto"/>
        </w:rPr>
        <w:t>Upon or in anticipation of a change in control (which includes certain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pacing w:after="0" w:line="268" w:lineRule="exact"/>
        <w:rPr>
          <w:sz w:val="20"/>
          <w:szCs w:val="20"/>
          <w:color w:val="auto"/>
        </w:rPr>
      </w:pPr>
    </w:p>
    <w:p>
      <w:pPr>
        <w:ind w:left="1240" w:right="1259"/>
        <w:spacing w:after="0" w:line="262"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The compensation committee may in its discretion: (i) cancel options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cash; or (iii) otherwise directly reduce the exercise or base price of options or stock appreciation rights outstanding under the 2021 Plan.</w:t>
      </w:r>
    </w:p>
    <w:p>
      <w:pPr>
        <w:spacing w:after="0" w:line="9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i w:val="1"/>
          <w:iCs w:val="1"/>
          <w:color w:val="auto"/>
        </w:rPr>
        <w:t xml:space="preserve">Director Compensation Limits. </w:t>
      </w:r>
      <w:r>
        <w:rPr>
          <w:rFonts w:ascii="Arial" w:cs="Arial" w:eastAsia="Arial" w:hAnsi="Arial"/>
          <w:sz w:val="14"/>
          <w:szCs w:val="14"/>
          <w:color w:val="auto"/>
        </w:rPr>
        <w:t>Beginning with the 2022 calendar year, the aggregate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equity and cash compensation payable to a non-employee director with respect to a calendar year for his or her service as a director may not exceed $750,000 (or $1,000,000, in the case of a newly appointed or newly elected non-employee director’s first year of service with us. This director compensation limit will not apply to (i) compensation earned by a non-employee director solely in his or her capacity as chairman of the Board or lead independent director,</w:t>
      </w:r>
    </w:p>
    <w:p>
      <w:pPr>
        <w:spacing w:after="0" w:line="4" w:lineRule="exact"/>
        <w:rPr>
          <w:sz w:val="20"/>
          <w:szCs w:val="20"/>
          <w:color w:val="auto"/>
        </w:rPr>
      </w:pPr>
    </w:p>
    <w:p>
      <w:pPr>
        <w:ind w:left="1240" w:right="1339" w:firstLine="9"/>
        <w:spacing w:after="0" w:line="259" w:lineRule="auto"/>
        <w:tabs>
          <w:tab w:leader="none" w:pos="1456"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compensation earned by a non-employee director for services he or she performs outside of his or her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81"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under the 2021 Plan will be subject to clawback or recoupment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policy, law or exchange listing requirement in effect from time to time.</w:t>
      </w:r>
    </w:p>
    <w:p>
      <w:pPr>
        <w:spacing w:after="0" w:line="70" w:lineRule="exact"/>
        <w:rPr>
          <w:sz w:val="20"/>
          <w:szCs w:val="20"/>
          <w:color w:val="auto"/>
        </w:rPr>
      </w:pPr>
    </w:p>
    <w:p>
      <w:pPr>
        <w:ind w:left="1240" w:right="1439"/>
        <w:spacing w:after="0" w:line="273"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for certain estate planning transfers authorized by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awards granted under the 2021 Plan are generally nontransferable except by will or by the laws of descent and distribution.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our 2021 Plan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stockholder approval if required by applicable law or exchange listing requirement. The 2021 Plan will terminate ten years after it becomes effective.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2018 Plan</w:t>
      </w:r>
    </w:p>
    <w:p>
      <w:pPr>
        <w:spacing w:after="0" w:line="12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0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noted above, we will cease granting awards under the 2018 Plan immediately prior to this offering. Any outstanding awards will continue to be subject to the terms of the 2018 Plan and the applicable award agreements.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 summary of the material terms of the 2018 Plan follows below.</w:t>
      </w:r>
    </w:p>
    <w:p>
      <w:pPr>
        <w:spacing w:after="0" w:line="103" w:lineRule="exact"/>
        <w:rPr>
          <w:sz w:val="20"/>
          <w:szCs w:val="20"/>
          <w:color w:val="auto"/>
        </w:rPr>
      </w:pPr>
    </w:p>
    <w:p>
      <w:pPr>
        <w:ind w:left="1240" w:right="1259"/>
        <w:spacing w:after="0" w:line="261"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or a committee of our board of directors, is authorized to</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administer our 2018 Plan and is referred to as the ‘‘plan administrator’’ herein. Under our 2018 Plan, the plan administrator has the authority to determine award recipients, dates of grant, the numbers and types of awards to be granted, the applicable fair market value and the provisions of each award, including the period of their exercisability and the vesting schedule applicable to an award, among other powers under the 2018 Plan. We expect that our compensation committee will administer the 2018 Plan following the date of this offering.</w:t>
      </w:r>
    </w:p>
    <w:p>
      <w:pPr>
        <w:spacing w:after="0" w:line="92" w:lineRule="exact"/>
        <w:rPr>
          <w:sz w:val="20"/>
          <w:szCs w:val="20"/>
          <w:color w:val="auto"/>
        </w:rPr>
      </w:pPr>
    </w:p>
    <w:p>
      <w:pPr>
        <w:ind w:left="1240" w:right="1499"/>
        <w:spacing w:after="0" w:line="291" w:lineRule="auto"/>
        <w:rPr>
          <w:sz w:val="20"/>
          <w:szCs w:val="20"/>
          <w:color w:val="auto"/>
        </w:rPr>
      </w:pPr>
      <w:r>
        <w:rPr>
          <w:rFonts w:ascii="Arial" w:cs="Arial" w:eastAsia="Arial" w:hAnsi="Arial"/>
          <w:sz w:val="14"/>
          <w:szCs w:val="14"/>
          <w:i w:val="1"/>
          <w:iCs w:val="1"/>
          <w:color w:val="auto"/>
        </w:rPr>
        <w:t xml:space="preserve">Shares subject to 2018 Plan. </w:t>
      </w:r>
      <w:r>
        <w:rPr>
          <w:rFonts w:ascii="Arial" w:cs="Arial" w:eastAsia="Arial" w:hAnsi="Arial"/>
          <w:sz w:val="14"/>
          <w:szCs w:val="14"/>
          <w:color w:val="auto"/>
        </w:rPr>
        <w:t>The maximum number of shares that may be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2018 Plan is 9,339,366.</w:t>
      </w:r>
    </w:p>
    <w:p>
      <w:pPr>
        <w:spacing w:after="0" w:line="84" w:lineRule="exact"/>
        <w:rPr>
          <w:sz w:val="20"/>
          <w:szCs w:val="20"/>
          <w:color w:val="auto"/>
        </w:rPr>
      </w:pPr>
    </w:p>
    <w:p>
      <w:pPr>
        <w:ind w:left="1240" w:right="1479"/>
        <w:spacing w:after="0" w:line="260" w:lineRule="auto"/>
        <w:rPr>
          <w:sz w:val="20"/>
          <w:szCs w:val="20"/>
          <w:color w:val="auto"/>
        </w:rPr>
      </w:pPr>
      <w:r>
        <w:rPr>
          <w:rFonts w:ascii="Arial" w:cs="Arial" w:eastAsia="Arial" w:hAnsi="Arial"/>
          <w:sz w:val="14"/>
          <w:szCs w:val="14"/>
          <w:color w:val="auto"/>
        </w:rPr>
        <w:t>As of March 31, 2021, there were (i) 2,452,070 shares available for issuance in respect of new awards under the 2018 Plan, (ii) options outstanding under the 2018 Plan with respect to 3,419,208 shares of our common stock, and (iii) 1,855,221 shares of restricted common stock outstanding under the 2018 Plan (some of which were acquired upon early exercise of stock options).</w:t>
      </w:r>
    </w:p>
    <w:p>
      <w:pPr>
        <w:spacing w:after="0" w:line="252"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 xml:space="preserve">Share recycling. </w:t>
      </w:r>
      <w:r>
        <w:rPr>
          <w:rFonts w:ascii="Arial" w:cs="Arial" w:eastAsia="Arial" w:hAnsi="Arial"/>
          <w:sz w:val="14"/>
          <w:szCs w:val="14"/>
          <w:color w:val="auto"/>
        </w:rPr>
        <w:t>Under the terms of the 2018 Plan, shares underlying awards that are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91" w:lineRule="exact"/>
        <w:rPr>
          <w:sz w:val="20"/>
          <w:szCs w:val="20"/>
          <w:color w:val="auto"/>
        </w:rPr>
      </w:pPr>
    </w:p>
    <w:p>
      <w:pPr>
        <w:ind w:left="1240" w:right="1299"/>
        <w:spacing w:after="0" w:line="266"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2018 Plan provides for the grant of both incentive stock options and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275"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78" w:lineRule="exact"/>
        <w:rPr>
          <w:sz w:val="20"/>
          <w:szCs w:val="20"/>
          <w:color w:val="auto"/>
        </w:rPr>
      </w:pPr>
    </w:p>
    <w:p>
      <w:pPr>
        <w:ind w:left="1240" w:right="1279"/>
        <w:spacing w:after="0" w:line="264"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2018 Plan also allows for the grant or sale of RSAs. The price, if any,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share subject to an RSA will be determined by the plan administrator. During the vesting period, a participant will have the right to vote and receive any dividends with respect to restricted stock, provided that the plan administrator may specify that any such dividends are subject to the same vesting schedule as the shares to which they relate.</w:t>
      </w:r>
    </w:p>
    <w:p>
      <w:pPr>
        <w:spacing w:after="0" w:line="89" w:lineRule="exact"/>
        <w:rPr>
          <w:sz w:val="20"/>
          <w:szCs w:val="20"/>
          <w:color w:val="auto"/>
        </w:rPr>
      </w:pPr>
    </w:p>
    <w:p>
      <w:pPr>
        <w:ind w:left="1240" w:right="1279"/>
        <w:spacing w:after="0" w:line="267" w:lineRule="auto"/>
        <w:rPr>
          <w:sz w:val="20"/>
          <w:szCs w:val="20"/>
          <w:color w:val="auto"/>
        </w:rPr>
      </w:pPr>
      <w:r>
        <w:rPr>
          <w:rFonts w:ascii="Arial" w:cs="Arial" w:eastAsia="Arial" w:hAnsi="Arial"/>
          <w:sz w:val="14"/>
          <w:szCs w:val="14"/>
          <w:i w:val="1"/>
          <w:iCs w:val="1"/>
          <w:color w:val="auto"/>
        </w:rPr>
        <w:t xml:space="preserve">Stock appreciation rights, restricted stock units, unrestricted stock awards. </w:t>
      </w:r>
      <w:r>
        <w:rPr>
          <w:rFonts w:ascii="Arial" w:cs="Arial" w:eastAsia="Arial" w:hAnsi="Arial"/>
          <w:sz w:val="14"/>
          <w:szCs w:val="14"/>
          <w:color w:val="auto"/>
        </w:rPr>
        <w:t>In addition, the 2018</w:t>
      </w:r>
      <w:r>
        <w:rPr>
          <w:rFonts w:ascii="Arial" w:cs="Arial" w:eastAsia="Arial" w:hAnsi="Arial"/>
          <w:sz w:val="14"/>
          <w:szCs w:val="14"/>
          <w:i w:val="1"/>
          <w:iCs w:val="1"/>
          <w:color w:val="auto"/>
        </w:rPr>
        <w:t xml:space="preserve"> </w:t>
      </w:r>
      <w:r>
        <w:rPr>
          <w:rFonts w:ascii="Arial" w:cs="Arial" w:eastAsia="Arial" w:hAnsi="Arial"/>
          <w:sz w:val="14"/>
          <w:szCs w:val="14"/>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87" w:lineRule="exact"/>
        <w:rPr>
          <w:sz w:val="20"/>
          <w:szCs w:val="20"/>
          <w:color w:val="auto"/>
        </w:rPr>
      </w:pPr>
    </w:p>
    <w:p>
      <w:pPr>
        <w:ind w:left="1240" w:right="1499"/>
        <w:spacing w:after="0" w:line="273"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If we are subject to a “sale event” (including certain dissolution, liquidation, asset</w:t>
      </w:r>
      <w:r>
        <w:rPr>
          <w:rFonts w:ascii="Arial" w:cs="Arial" w:eastAsia="Arial" w:hAnsi="Arial"/>
          <w:sz w:val="14"/>
          <w:szCs w:val="14"/>
          <w:i w:val="1"/>
          <w:iCs w:val="1"/>
          <w:color w:val="auto"/>
        </w:rPr>
        <w:t xml:space="preserve"> </w:t>
      </w:r>
      <w:r>
        <w:rPr>
          <w:rFonts w:ascii="Arial" w:cs="Arial" w:eastAsia="Arial" w:hAnsi="Arial"/>
          <w:sz w:val="14"/>
          <w:szCs w:val="14"/>
          <w:color w:val="auto"/>
        </w:rPr>
        <w:t>sale or merger transactions), the plan administrator will determine how to treat outstanding awards under our 2018 Plan. This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99"/>
        <w:spacing w:after="0" w:line="255" w:lineRule="auto"/>
        <w:rPr>
          <w:sz w:val="20"/>
          <w:szCs w:val="20"/>
          <w:color w:val="auto"/>
        </w:rPr>
      </w:pPr>
      <w:r>
        <w:rPr>
          <w:rFonts w:ascii="Arial" w:cs="Arial" w:eastAsia="Arial" w:hAnsi="Arial"/>
          <w:sz w:val="14"/>
          <w:szCs w:val="14"/>
          <w:color w:val="auto"/>
        </w:rPr>
        <w:t>may include: (i) the cancellation and/or forfeiture of outstanding awards, unless exercised prior to the sale event or assumed, substituted or continued by the surviving entity or its parent; or</w:t>
      </w:r>
    </w:p>
    <w:p>
      <w:pPr>
        <w:spacing w:after="0" w:line="1" w:lineRule="exact"/>
        <w:rPr>
          <w:sz w:val="20"/>
          <w:szCs w:val="20"/>
          <w:color w:val="auto"/>
        </w:rPr>
      </w:pPr>
    </w:p>
    <w:p>
      <w:pPr>
        <w:ind w:left="1240" w:right="1799" w:firstLine="9"/>
        <w:spacing w:after="0" w:line="270" w:lineRule="auto"/>
        <w:tabs>
          <w:tab w:leader="none" w:pos="1456" w:val="left"/>
        </w:tabs>
        <w:numPr>
          <w:ilvl w:val="0"/>
          <w:numId w:val="96"/>
        </w:numPr>
        <w:rPr>
          <w:rFonts w:ascii="Arial" w:cs="Arial" w:eastAsia="Arial" w:hAnsi="Arial"/>
          <w:sz w:val="14"/>
          <w:szCs w:val="14"/>
          <w:color w:val="auto"/>
        </w:rPr>
      </w:pPr>
      <w:r>
        <w:rPr>
          <w:rFonts w:ascii="Arial" w:cs="Arial" w:eastAsia="Arial" w:hAnsi="Arial"/>
          <w:sz w:val="14"/>
          <w:szCs w:val="14"/>
          <w:color w:val="auto"/>
        </w:rPr>
        <w:t>cashout or redemption of outstanding awards. The plan administrator need not treat all outstanding awards in an identical manner.</w:t>
      </w:r>
    </w:p>
    <w:p>
      <w:pPr>
        <w:spacing w:after="0" w:line="74"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 stock dividend, reorganization, recapitalization,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264" w:lineRule="exact"/>
        <w:rPr>
          <w:sz w:val="20"/>
          <w:szCs w:val="20"/>
          <w:color w:val="auto"/>
        </w:rPr>
      </w:pPr>
    </w:p>
    <w:p>
      <w:pPr>
        <w:ind w:left="1240" w:right="1599"/>
        <w:spacing w:after="0" w:line="273"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Without approval of stockholders, the plan administrator may reprice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under the 2018 Plan by reducing the exercise price of such options or cancelling such options in exchange for new awards.</w:t>
      </w:r>
    </w:p>
    <w:p>
      <w:pPr>
        <w:spacing w:after="0" w:line="82" w:lineRule="exact"/>
        <w:rPr>
          <w:sz w:val="20"/>
          <w:szCs w:val="20"/>
          <w:color w:val="auto"/>
        </w:rPr>
      </w:pPr>
    </w:p>
    <w:p>
      <w:pPr>
        <w:jc w:val="both"/>
        <w:ind w:left="1240" w:right="1439"/>
        <w:spacing w:after="0" w:line="267"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Unless otherwise determined by the plan administrator and/or specified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 2018 Plan awards generally may not be sold, pledged, assigned, hypothecated, transferred, or disposed of in any manner other than by will, the laws of descent, and distribution.</w:t>
      </w:r>
    </w:p>
    <w:p>
      <w:pPr>
        <w:spacing w:after="0" w:line="76"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amend or terminate our 2018 Plan at</w:t>
      </w:r>
      <w:r>
        <w:rPr>
          <w:rFonts w:ascii="Arial" w:cs="Arial" w:eastAsia="Arial" w:hAnsi="Arial"/>
          <w:sz w:val="14"/>
          <w:szCs w:val="14"/>
          <w:i w:val="1"/>
          <w:iCs w:val="1"/>
          <w:color w:val="auto"/>
        </w:rPr>
        <w:t xml:space="preserve"> </w:t>
      </w:r>
      <w:r>
        <w:rPr>
          <w:rFonts w:ascii="Arial" w:cs="Arial" w:eastAsia="Arial" w:hAnsi="Arial"/>
          <w:sz w:val="14"/>
          <w:szCs w:val="14"/>
          <w:color w:val="auto"/>
        </w:rPr>
        <w:t>any time; provided, however, our committee may condition any other amendment or modification on the approval of stockholders for any reason, including by reason of such approval being necessary or deemed advisable to satisfy any other tax, securities or other applicable laws, policies or regulations. As noted above, we will cease granting awards under the 2018 Plan immediately prior to this offering, although outstanding 2018 Plan awards will remain in effect in accordance with their terms.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ESPP</w:t>
      </w:r>
    </w:p>
    <w:p>
      <w:pPr>
        <w:spacing w:after="0" w:line="133" w:lineRule="exact"/>
        <w:rPr>
          <w:sz w:val="20"/>
          <w:szCs w:val="20"/>
          <w:color w:val="auto"/>
        </w:rPr>
      </w:pPr>
    </w:p>
    <w:p>
      <w:pPr>
        <w:ind w:left="1240" w:right="1539"/>
        <w:spacing w:after="0" w:line="257" w:lineRule="auto"/>
        <w:rPr>
          <w:sz w:val="20"/>
          <w:szCs w:val="20"/>
          <w:color w:val="auto"/>
        </w:rPr>
      </w:pPr>
      <w:r>
        <w:rPr>
          <w:rFonts w:ascii="Arial" w:cs="Arial" w:eastAsia="Arial" w:hAnsi="Arial"/>
          <w:sz w:val="14"/>
          <w:szCs w:val="14"/>
          <w:color w:val="auto"/>
        </w:rPr>
        <w:t>Our board of directors intends to adopt the Employee Stock Purchase Plan, or ESPP, prior to closing of this offering, under which we may provide our employees and employees of our participating subsidiaries with an opportunity to purchase shares of our common stock at a discounted purchase price. The ESPP will first become effective upon the effectiveness of the Registration Statement of which this prospectus forms a part, although our compensation committee has not yet determined when the first purchase period under the ESPP will commence. The material terms of the ESPP are summarized below. The ESPP is intended to qualify as an “employee stock purchase plan” meeting the requirements of Section 423 of the Code.</w:t>
      </w:r>
    </w:p>
    <w:p>
      <w:pPr>
        <w:spacing w:after="0" w:line="267" w:lineRule="exact"/>
        <w:rPr>
          <w:sz w:val="20"/>
          <w:szCs w:val="20"/>
          <w:color w:val="auto"/>
        </w:rPr>
      </w:pPr>
    </w:p>
    <w:p>
      <w:pPr>
        <w:ind w:left="1240" w:right="1319"/>
        <w:spacing w:after="0" w:line="266"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express provisions of the ESPP, our compensation committee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250"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i w:val="1"/>
          <w:iCs w:val="1"/>
          <w:color w:val="auto"/>
        </w:rPr>
        <w:t xml:space="preserve">Stock Subject to the ESPP. </w:t>
      </w:r>
      <w:r>
        <w:rPr>
          <w:rFonts w:ascii="Arial" w:cs="Arial" w:eastAsia="Arial" w:hAnsi="Arial"/>
          <w:sz w:val="14"/>
          <w:szCs w:val="14"/>
          <w:color w:val="auto"/>
        </w:rPr>
        <w:t>Subject to adjustment as provided in the ESPP, a total of 564,071</w:t>
      </w:r>
      <w:r>
        <w:rPr>
          <w:rFonts w:ascii="Arial" w:cs="Arial" w:eastAsia="Arial" w:hAnsi="Arial"/>
          <w:sz w:val="14"/>
          <w:szCs w:val="14"/>
          <w:i w:val="1"/>
          <w:iCs w:val="1"/>
          <w:color w:val="auto"/>
        </w:rPr>
        <w:t xml:space="preserve"> </w:t>
      </w:r>
      <w:r>
        <w:rPr>
          <w:rFonts w:ascii="Arial" w:cs="Arial" w:eastAsia="Arial" w:hAnsi="Arial"/>
          <w:sz w:val="14"/>
          <w:szCs w:val="14"/>
          <w:color w:val="auto"/>
        </w:rPr>
        <w:t>will be authorized and reserved for issuance under the ESPP. In addition, subject to prior approval by our board of directors in each instance, on or about January 1, 2022 and each anniversary of such date thereafter prior to the termination of the ESPP, the number of shares of our common stock authorized and reserved for issuance under the ESPP will be increased by a number of shares of our common stock equal to the least of (i) 1,128,142 shares of our common stock, (ii) 1%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Generally, our employees and employees of our participating subsidiaries who</w:t>
      </w:r>
      <w:r>
        <w:rPr>
          <w:rFonts w:ascii="Arial" w:cs="Arial" w:eastAsia="Arial" w:hAnsi="Arial"/>
          <w:sz w:val="14"/>
          <w:szCs w:val="14"/>
          <w:i w:val="1"/>
          <w:iCs w:val="1"/>
          <w:color w:val="auto"/>
        </w:rPr>
        <w:t xml:space="preserve"> </w:t>
      </w:r>
      <w:r>
        <w:rPr>
          <w:rFonts w:ascii="Arial" w:cs="Arial" w:eastAsia="Arial" w:hAnsi="Arial"/>
          <w:sz w:val="14"/>
          <w:szCs w:val="14"/>
          <w:color w:val="auto"/>
        </w:rPr>
        <w:t>customarily are employed for at least twenty (20) hours per week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(in accordance with Section 423(b)(8) of the Code) that accrue at a rate exceeding $25,000 (determined as of the option grant date) for each calendar year in which such rights are outstanding.</w:t>
      </w:r>
    </w:p>
    <w:p>
      <w:pPr>
        <w:spacing w:after="0" w:line="25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Grant and exercise of options. </w:t>
      </w:r>
      <w:r>
        <w:rPr>
          <w:rFonts w:ascii="Arial" w:cs="Arial" w:eastAsia="Arial" w:hAnsi="Arial"/>
          <w:sz w:val="14"/>
          <w:szCs w:val="14"/>
          <w:color w:val="auto"/>
        </w:rPr>
        <w:t>The ESPP provides for six (6) month offering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on January 1st and July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 offering period. However, a participant may not purchase more than 5,000 shares of our common stock during each offering period.</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During each offering period for which a participant has enrolled, the participant may contribute through payroll deductions in an amount equal to (i) between 1% and 15%, in whole percentages, of his or her compensation, or (ii) a fixed dollar amount, in each case, on each pay day occurring during such offering period. A participant’s compensation for purposes of the ESPP includes base salary and base wages (including overtime).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 cafeteria plan, or similar arrangement.</w:t>
      </w:r>
    </w:p>
    <w:p>
      <w:pPr>
        <w:spacing w:after="0" w:line="109" w:lineRule="exact"/>
        <w:rPr>
          <w:sz w:val="20"/>
          <w:szCs w:val="20"/>
          <w:color w:val="auto"/>
        </w:rPr>
      </w:pPr>
    </w:p>
    <w:p>
      <w:pPr>
        <w:ind w:left="1240" w:right="1359"/>
        <w:spacing w:after="0" w:line="255" w:lineRule="auto"/>
        <w:rPr>
          <w:sz w:val="20"/>
          <w:szCs w:val="20"/>
          <w:color w:val="auto"/>
        </w:rPr>
      </w:pPr>
      <w:r>
        <w:rPr>
          <w:rFonts w:ascii="Arial" w:cs="Arial" w:eastAsia="Arial" w:hAnsi="Arial"/>
          <w:sz w:val="14"/>
          <w:szCs w:val="14"/>
          <w:color w:val="auto"/>
        </w:rPr>
        <w:t>On the last trading day of each offering period, a participant’s option to purchase shares of our common stock will be exercised automatically. The per-share purchase price will be the lesser of</w:t>
      </w:r>
    </w:p>
    <w:p>
      <w:pPr>
        <w:spacing w:after="0" w:line="1" w:lineRule="exact"/>
        <w:rPr>
          <w:sz w:val="20"/>
          <w:szCs w:val="20"/>
          <w:color w:val="auto"/>
        </w:rPr>
      </w:pPr>
    </w:p>
    <w:p>
      <w:pPr>
        <w:ind w:left="1240" w:right="1259" w:firstLine="9"/>
        <w:spacing w:after="0" w:line="257" w:lineRule="auto"/>
        <w:tabs>
          <w:tab w:leader="none" w:pos="1421" w:val="left"/>
        </w:tabs>
        <w:numPr>
          <w:ilvl w:val="0"/>
          <w:numId w:val="97"/>
        </w:numPr>
        <w:rPr>
          <w:rFonts w:ascii="Arial" w:cs="Arial" w:eastAsia="Arial" w:hAnsi="Arial"/>
          <w:sz w:val="14"/>
          <w:szCs w:val="14"/>
          <w:color w:val="auto"/>
        </w:rPr>
      </w:pPr>
      <w:r>
        <w:rPr>
          <w:rFonts w:ascii="Arial" w:cs="Arial" w:eastAsia="Arial" w:hAnsi="Arial"/>
          <w:sz w:val="14"/>
          <w:szCs w:val="14"/>
          <w:color w:val="auto"/>
        </w:rPr>
        <w:t>eighty-five percent (85%) of the fair market value of one share of our common stock on the first trading day of the applicable offering period and (ii) eighty-five percent (85%)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83"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Termination of Employment and Withdrawal from the ESPP. </w:t>
      </w:r>
      <w:r>
        <w:rPr>
          <w:rFonts w:ascii="Arial" w:cs="Arial" w:eastAsia="Arial" w:hAnsi="Arial"/>
          <w:sz w:val="14"/>
          <w:szCs w:val="14"/>
          <w:color w:val="auto"/>
        </w:rPr>
        <w:t>Participants may elect to withdraw</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pacing w:after="0" w:line="265" w:lineRule="exact"/>
        <w:rPr>
          <w:sz w:val="20"/>
          <w:szCs w:val="20"/>
          <w:color w:val="auto"/>
        </w:rPr>
      </w:pPr>
    </w:p>
    <w:p>
      <w:pPr>
        <w:ind w:left="1240" w:right="1439"/>
        <w:spacing w:after="0" w:line="262" w:lineRule="auto"/>
        <w:rPr>
          <w:sz w:val="20"/>
          <w:szCs w:val="20"/>
          <w:color w:val="auto"/>
        </w:rPr>
      </w:pPr>
      <w:r>
        <w:rPr>
          <w:rFonts w:ascii="Arial" w:cs="Arial" w:eastAsia="Arial" w:hAnsi="Arial"/>
          <w:sz w:val="14"/>
          <w:szCs w:val="14"/>
          <w:i w:val="1"/>
          <w:iCs w:val="1"/>
          <w:color w:val="auto"/>
        </w:rPr>
        <w:t xml:space="preserve">Amendment and Termination of the ESPP. </w:t>
      </w:r>
      <w:r>
        <w:rPr>
          <w:rFonts w:ascii="Arial" w:cs="Arial" w:eastAsia="Arial" w:hAnsi="Arial"/>
          <w:sz w:val="14"/>
          <w:szCs w:val="14"/>
          <w:color w:val="auto"/>
        </w:rPr>
        <w:t>Our compensation committee may amend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Other benefits</w:t>
      </w:r>
    </w:p>
    <w:p>
      <w:pPr>
        <w:spacing w:after="0" w:line="129" w:lineRule="exact"/>
        <w:rPr>
          <w:sz w:val="20"/>
          <w:szCs w:val="20"/>
          <w:color w:val="auto"/>
        </w:rPr>
      </w:pPr>
    </w:p>
    <w:p>
      <w:pPr>
        <w:ind w:left="1240" w:right="1599"/>
        <w:spacing w:after="0" w:line="286" w:lineRule="auto"/>
        <w:rPr>
          <w:sz w:val="20"/>
          <w:szCs w:val="20"/>
          <w:color w:val="auto"/>
        </w:rPr>
      </w:pPr>
      <w:r>
        <w:rPr>
          <w:rFonts w:ascii="Arial" w:cs="Arial" w:eastAsia="Arial" w:hAnsi="Arial"/>
          <w:sz w:val="14"/>
          <w:szCs w:val="14"/>
          <w:color w:val="auto"/>
        </w:rPr>
        <w:t>We currently provide welfare benefits that are available to all of our employees, including our NEOs, including health, dental, life, vision, and disability insurance.</w:t>
      </w:r>
    </w:p>
    <w:p>
      <w:pPr>
        <w:spacing w:after="0" w:line="98"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09" w:lineRule="exact"/>
        <w:rPr>
          <w:sz w:val="20"/>
          <w:szCs w:val="20"/>
          <w:color w:val="auto"/>
        </w:rPr>
      </w:pPr>
    </w:p>
    <w:p>
      <w:pPr>
        <w:ind w:left="1240" w:right="1579"/>
        <w:spacing w:after="0" w:line="263" w:lineRule="auto"/>
        <w:rPr>
          <w:sz w:val="20"/>
          <w:szCs w:val="20"/>
          <w:color w:val="auto"/>
        </w:rPr>
      </w:pPr>
      <w:r>
        <w:rPr>
          <w:rFonts w:ascii="Arial" w:cs="Arial" w:eastAsia="Arial" w:hAnsi="Arial"/>
          <w:sz w:val="14"/>
          <w:szCs w:val="14"/>
          <w:color w:val="auto"/>
        </w:rPr>
        <w:t>We do not maintain any defined benefit pension plans or nonqualified deferred compensation plans.</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10b5-1 sales plans</w:t>
      </w:r>
    </w:p>
    <w:p>
      <w:pPr>
        <w:spacing w:after="0" w:line="129"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2"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119"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following includes a summary of transactions since January 1, 2019 and any currently proposed transactions to which we were or are expected to be a participant in which (1) the amount involved exceeded or will exceed the lesser of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Bayer HealthCare LLC</w:t>
      </w:r>
    </w:p>
    <w:p>
      <w:pPr>
        <w:spacing w:after="0" w:line="129"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Bayer is a holder of greater than 5% of our securities. Below is a summary of the transactions entered into between Bayer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Commitment agreement and option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27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Series C Financing</w:t>
      </w:r>
    </w:p>
    <w:p>
      <w:pPr>
        <w:spacing w:after="0" w:line="13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Bayer participated in our Series C Financing in February 2021. For a description of the Series C Financing and Bayer’s participation therein, see “—Series C Financing.”</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FUJIFILM Cellular Dynamics, Inc.</w:t>
      </w:r>
    </w:p>
    <w:p>
      <w:pPr>
        <w:spacing w:after="0" w:line="129" w:lineRule="exact"/>
        <w:rPr>
          <w:sz w:val="20"/>
          <w:szCs w:val="20"/>
          <w:color w:val="auto"/>
        </w:rPr>
      </w:pPr>
    </w:p>
    <w:p>
      <w:pPr>
        <w:ind w:left="1240" w:right="1599"/>
        <w:spacing w:after="0" w:line="270" w:lineRule="auto"/>
        <w:rPr>
          <w:sz w:val="20"/>
          <w:szCs w:val="20"/>
          <w:color w:val="auto"/>
        </w:rPr>
      </w:pPr>
      <w:r>
        <w:rPr>
          <w:rFonts w:ascii="Arial" w:cs="Arial" w:eastAsia="Arial" w:hAnsi="Arial"/>
          <w:sz w:val="14"/>
          <w:szCs w:val="14"/>
          <w:color w:val="auto"/>
        </w:rPr>
        <w:t>FCDI is a holder of greater than 5% of our securities. Below are the transactions entered into between FCDI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Reprogramming license agreement</w:t>
      </w:r>
    </w:p>
    <w:p>
      <w:pPr>
        <w:spacing w:after="0" w:line="123"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Differentiation license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2,980,803 shares of its common stock, which converted into 2,980,803 shares of our common stock</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699"/>
        <w:spacing w:after="0" w:line="278" w:lineRule="auto"/>
        <w:rPr>
          <w:sz w:val="20"/>
          <w:szCs w:val="20"/>
          <w:color w:val="auto"/>
        </w:rPr>
      </w:pPr>
      <w:r>
        <w:rPr>
          <w:rFonts w:ascii="Arial" w:cs="Arial" w:eastAsia="Arial" w:hAnsi="Arial"/>
          <w:sz w:val="14"/>
          <w:szCs w:val="14"/>
          <w:color w:val="auto"/>
        </w:rPr>
        <w:t>in the 2021 Reorganization. For a description of the Differentiation License Agreement, see “Business—Licensing, Partnerships and Collaborations—FUJIFILM Cellular Dynamics.” No payments were made under the Differentiation License in 2019 or 2020.</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Master collaboration agreement</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agreement</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Series C Financing</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Following the 2021 Reorganization, on February 25, 2021, we completed the Series C Financing.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Certain holders of more than 5% of our capital stock (or their affiliates) participated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Financing. Versant Vantage II, L.P. invested $10 million for a total of 1,545,125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and Bayer invested $25 million for a total of 3,862,813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each at a price of approximately $6.472 per share.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Investors’ rights agreement</w:t>
      </w:r>
    </w:p>
    <w:p>
      <w:pPr>
        <w:spacing w:after="0" w:line="13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 of first refusal and co-sale agreement</w:t>
      </w:r>
    </w:p>
    <w:p>
      <w:pPr>
        <w:spacing w:after="0" w:line="144" w:lineRule="exact"/>
        <w:rPr>
          <w:sz w:val="20"/>
          <w:szCs w:val="20"/>
          <w:color w:val="auto"/>
        </w:rPr>
      </w:pPr>
    </w:p>
    <w:p>
      <w:pPr>
        <w:jc w:val="both"/>
        <w:ind w:left="1240" w:right="1639"/>
        <w:spacing w:after="0" w:line="278" w:lineRule="auto"/>
        <w:rPr>
          <w:sz w:val="20"/>
          <w:szCs w:val="20"/>
          <w:color w:val="auto"/>
        </w:rPr>
      </w:pPr>
      <w:r>
        <w:rPr>
          <w:rFonts w:ascii="Arial" w:cs="Arial" w:eastAsia="Arial" w:hAnsi="Arial"/>
          <w:sz w:val="14"/>
          <w:szCs w:val="14"/>
          <w:color w:val="auto"/>
        </w:rPr>
        <w:t>In connection with the Series C Financing, we entered into a right of first refusal and co-sale agreement with certain holders of our common stock and each holder of our preferred stock, which includes each holder of more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than 5% of our capital stock. The right of first refusal and co-sale agreement, including all rights thereunder, will automatically terminate immediately prior to the closing of this offering.</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29"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Please see “Executive compensation” and “Management—Non-employee director compensation” for information regarding the compensation of our directors and executive officers.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agreements</w:t>
      </w:r>
    </w:p>
    <w:p>
      <w:pPr>
        <w:spacing w:after="0" w:line="140"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Arrangements with our NEOs.”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Indemnification agreements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board of directors will adopt a written related party transaction policy, which will become effective upon the effectiveness of the Registration Statement,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291"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Principal stockholders</w:t>
      </w:r>
    </w:p>
    <w:p>
      <w:pPr>
        <w:spacing w:after="0" w:line="130" w:lineRule="exact"/>
        <w:rPr>
          <w:sz w:val="20"/>
          <w:szCs w:val="20"/>
          <w:color w:val="auto"/>
        </w:rPr>
      </w:pPr>
    </w:p>
    <w:p>
      <w:pPr>
        <w:ind w:left="1240" w:right="1359"/>
        <w:spacing w:after="0" w:line="302" w:lineRule="auto"/>
        <w:rPr>
          <w:sz w:val="20"/>
          <w:szCs w:val="20"/>
          <w:color w:val="auto"/>
        </w:rPr>
      </w:pPr>
      <w:r>
        <w:rPr>
          <w:rFonts w:ascii="Arial" w:cs="Arial" w:eastAsia="Arial" w:hAnsi="Arial"/>
          <w:sz w:val="14"/>
          <w:szCs w:val="14"/>
          <w:color w:val="auto"/>
        </w:rPr>
        <w:t>The following table sets forth, as of June 11, 2021, information regarding beneficial ownership of our capital stock by:</w:t>
      </w:r>
    </w:p>
    <w:p>
      <w:pPr>
        <w:spacing w:after="0" w:line="87" w:lineRule="exact"/>
        <w:rPr>
          <w:sz w:val="20"/>
          <w:szCs w:val="20"/>
          <w:color w:val="auto"/>
        </w:rPr>
      </w:pPr>
    </w:p>
    <w:p>
      <w:pPr>
        <w:ind w:left="1360" w:right="1499" w:hanging="111"/>
        <w:spacing w:after="0" w:line="286" w:lineRule="auto"/>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our common stock;</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NEOs;</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all of our June 11, 2021 executive officers and directors as a group.</w:t>
      </w:r>
    </w:p>
    <w:p>
      <w:pPr>
        <w:spacing w:after="0" w:line="128" w:lineRule="exact"/>
        <w:rPr>
          <w:sz w:val="20"/>
          <w:szCs w:val="20"/>
          <w:color w:val="auto"/>
        </w:rPr>
      </w:pPr>
    </w:p>
    <w:p>
      <w:pPr>
        <w:ind w:left="1240" w:right="1379"/>
        <w:spacing w:after="0" w:line="287" w:lineRule="auto"/>
        <w:rPr>
          <w:sz w:val="20"/>
          <w:szCs w:val="20"/>
          <w:color w:val="auto"/>
        </w:rPr>
      </w:pPr>
      <w:r>
        <w:rPr>
          <w:rFonts w:ascii="Arial" w:cs="Arial" w:eastAsia="Arial" w:hAnsi="Arial"/>
          <w:sz w:val="14"/>
          <w:szCs w:val="14"/>
          <w:color w:val="auto"/>
        </w:rPr>
        <w:t>The percentage ownership information under the column titled “Beneficial ownership prior to this offering” is based on 44,274,608 shares of common stock outstanding as of June 11, 2021, assuming the automatic conversion of all outstanding shares of our convertible preferred stock into an aggregate of 34,126,528 shares of common stock upon the closing of this offering.</w:t>
      </w:r>
    </w:p>
    <w:p>
      <w:pPr>
        <w:spacing w:after="0" w:line="1" w:lineRule="exact"/>
        <w:rPr>
          <w:sz w:val="20"/>
          <w:szCs w:val="20"/>
          <w:color w:val="auto"/>
        </w:rPr>
      </w:pPr>
    </w:p>
    <w:p>
      <w:pPr>
        <w:ind w:left="1240" w:right="1539"/>
        <w:spacing w:after="0" w:line="291" w:lineRule="auto"/>
        <w:rPr>
          <w:sz w:val="20"/>
          <w:szCs w:val="20"/>
          <w:color w:val="auto"/>
        </w:rPr>
      </w:pPr>
      <w:r>
        <w:rPr>
          <w:rFonts w:ascii="Arial" w:cs="Arial" w:eastAsia="Arial" w:hAnsi="Arial"/>
          <w:sz w:val="14"/>
          <w:szCs w:val="14"/>
          <w:color w:val="auto"/>
        </w:rPr>
        <w:t>The percentage ownership information under the column titled “After Offering” is based on the sale of 10,550,000 shares of common stock in this offering (assuming an initial public offering price of $19.00 per share, the midpoint of the price range set forth on the cover page of this prospectus). The percentage ownership information assumes no exercise of the underwriters’ option to purchase additional shares.</w:t>
      </w:r>
    </w:p>
    <w:p>
      <w:pPr>
        <w:spacing w:after="0" w:line="106" w:lineRule="exact"/>
        <w:rPr>
          <w:sz w:val="20"/>
          <w:szCs w:val="20"/>
          <w:color w:val="auto"/>
        </w:rPr>
      </w:pPr>
    </w:p>
    <w:p>
      <w:pPr>
        <w:ind w:left="1240" w:right="1339"/>
        <w:spacing w:after="0" w:line="289" w:lineRule="auto"/>
        <w:rPr>
          <w:sz w:val="20"/>
          <w:szCs w:val="20"/>
          <w:color w:val="auto"/>
        </w:rPr>
      </w:pPr>
      <w:r>
        <w:rPr>
          <w:rFonts w:ascii="Arial" w:cs="Arial" w:eastAsia="Arial" w:hAnsi="Arial"/>
          <w:sz w:val="14"/>
          <w:szCs w:val="14"/>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June 11,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298"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Unless otherwise noted below, the address for each beneficial owner listed in the table below is c/o Century Therapeutics, Inc.,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Beneficial ownership prior to Beneficial ownership after</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this offering</w:t>
            </w:r>
          </w:p>
        </w:tc>
        <w:tc>
          <w:tcPr>
            <w:tcW w:w="6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this offering</w:t>
            </w: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Borders>
              <w:top w:val="single" w:sz="8" w:color="auto"/>
            </w:tcBorders>
          </w:tcPr>
          <w:p>
            <w:pPr>
              <w:jc w:val="right"/>
              <w:ind w:right="110"/>
              <w:spacing w:after="0" w:line="136" w:lineRule="exact"/>
              <w:rPr>
                <w:sz w:val="20"/>
                <w:szCs w:val="20"/>
                <w:color w:val="auto"/>
              </w:rPr>
            </w:pPr>
            <w:r>
              <w:rPr>
                <w:rFonts w:ascii="Arial" w:cs="Arial" w:eastAsia="Arial" w:hAnsi="Arial"/>
                <w:sz w:val="13"/>
                <w:szCs w:val="13"/>
                <w:b w:val="1"/>
                <w:bCs w:val="1"/>
                <w:color w:val="auto"/>
              </w:rPr>
              <w:t>Number of</w:t>
            </w:r>
          </w:p>
        </w:tc>
        <w:tc>
          <w:tcPr>
            <w:tcW w:w="1780" w:type="dxa"/>
            <w:vAlign w:val="bottom"/>
            <w:tcBorders>
              <w:top w:val="single" w:sz="8" w:color="auto"/>
            </w:tcBorders>
            <w:gridSpan w:val="2"/>
          </w:tcPr>
          <w:p>
            <w:pPr>
              <w:jc w:val="right"/>
              <w:ind w:right="50"/>
              <w:spacing w:after="0" w:line="136" w:lineRule="exact"/>
              <w:rPr>
                <w:sz w:val="20"/>
                <w:szCs w:val="20"/>
                <w:color w:val="auto"/>
              </w:rPr>
            </w:pPr>
            <w:r>
              <w:rPr>
                <w:rFonts w:ascii="Arial" w:cs="Arial" w:eastAsia="Arial" w:hAnsi="Arial"/>
                <w:sz w:val="13"/>
                <w:szCs w:val="13"/>
                <w:b w:val="1"/>
                <w:bCs w:val="1"/>
                <w:color w:val="auto"/>
              </w:rPr>
              <w:t>Percentage  Number of</w:t>
            </w:r>
          </w:p>
        </w:tc>
        <w:tc>
          <w:tcPr>
            <w:tcW w:w="8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1120" w:type="dxa"/>
            <w:vAlign w:val="bottom"/>
          </w:tcPr>
          <w:p>
            <w:pPr>
              <w:jc w:val="right"/>
              <w:ind w:right="190"/>
              <w:spacing w:after="0"/>
              <w:rPr>
                <w:sz w:val="20"/>
                <w:szCs w:val="20"/>
                <w:color w:val="auto"/>
              </w:rPr>
            </w:pPr>
            <w:r>
              <w:rPr>
                <w:rFonts w:ascii="Arial" w:cs="Arial" w:eastAsia="Arial" w:hAnsi="Arial"/>
                <w:sz w:val="13"/>
                <w:szCs w:val="13"/>
                <w:b w:val="1"/>
                <w:bCs w:val="1"/>
                <w:color w:val="auto"/>
              </w:rPr>
              <w:t>of</w:t>
            </w:r>
          </w:p>
        </w:tc>
        <w:tc>
          <w:tcPr>
            <w:tcW w:w="660" w:type="dxa"/>
            <w:vAlign w:val="bottom"/>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of</w:t>
            </w: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beneficially</w:t>
            </w:r>
          </w:p>
        </w:tc>
        <w:tc>
          <w:tcPr>
            <w:tcW w:w="17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beneficial beneficially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beneficial</w:t>
            </w:r>
          </w:p>
        </w:tc>
      </w:tr>
      <w:tr>
        <w:trPr>
          <w:trHeight w:val="177"/>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000" w:type="dxa"/>
            <w:vAlign w:val="bottom"/>
          </w:tcPr>
          <w:p>
            <w:pPr>
              <w:jc w:val="right"/>
              <w:ind w:right="70"/>
              <w:spacing w:after="0"/>
              <w:rPr>
                <w:sz w:val="20"/>
                <w:szCs w:val="20"/>
                <w:color w:val="auto"/>
              </w:rPr>
            </w:pPr>
            <w:r>
              <w:rPr>
                <w:rFonts w:ascii="Arial" w:cs="Arial" w:eastAsia="Arial" w:hAnsi="Arial"/>
                <w:sz w:val="13"/>
                <w:szCs w:val="13"/>
                <w:b w:val="1"/>
                <w:bCs w:val="1"/>
                <w:color w:val="auto"/>
              </w:rPr>
              <w:t>owned</w:t>
            </w: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ownership</w:t>
            </w: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owned</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ownership</w:t>
            </w:r>
          </w:p>
        </w:tc>
      </w:tr>
      <w:tr>
        <w:trPr>
          <w:trHeight w:val="193"/>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5% and Greater Stockholders:</w:t>
            </w:r>
          </w:p>
        </w:tc>
        <w:tc>
          <w:tcPr>
            <w:tcW w:w="10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line="193" w:lineRule="exact"/>
              <w:rPr>
                <w:sz w:val="20"/>
                <w:szCs w:val="20"/>
                <w:color w:val="auto"/>
              </w:rPr>
            </w:pPr>
            <w:r>
              <w:rPr>
                <w:rFonts w:ascii="Arial" w:cs="Arial" w:eastAsia="Arial" w:hAnsi="Arial"/>
                <w:sz w:val="14"/>
                <w:szCs w:val="14"/>
                <w:color w:val="auto"/>
              </w:rPr>
              <w:t>Versant Entities</w:t>
            </w:r>
            <w:r>
              <w:rPr>
                <w:rFonts w:ascii="Arial" w:cs="Arial" w:eastAsia="Arial" w:hAnsi="Arial"/>
                <w:sz w:val="21"/>
                <w:szCs w:val="21"/>
                <w:color w:val="auto"/>
                <w:vertAlign w:val="superscript"/>
              </w:rPr>
              <w:t>(1)</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13,530,909</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30.6%13,530,909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FUJIFILM Cellular Dynamics, Inc.</w:t>
            </w:r>
            <w:r>
              <w:rPr>
                <w:rFonts w:ascii="Arial" w:cs="Arial" w:eastAsia="Arial" w:hAnsi="Arial"/>
                <w:sz w:val="21"/>
                <w:szCs w:val="21"/>
                <w:color w:val="auto"/>
                <w:vertAlign w:val="superscript"/>
              </w:rPr>
              <w:t>(2)</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6,955,207</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15.7% 6,955,207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Bayer World Investments B.V.</w:t>
            </w:r>
            <w:r>
              <w:rPr>
                <w:rFonts w:ascii="Arial" w:cs="Arial" w:eastAsia="Arial" w:hAnsi="Arial"/>
                <w:sz w:val="21"/>
                <w:szCs w:val="21"/>
                <w:color w:val="auto"/>
                <w:vertAlign w:val="superscript"/>
              </w:rPr>
              <w:t>(3)</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11,925,838</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26.9%11,925,838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Casdin Entities</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Osvaldo Flores, Ph.D.</w:t>
            </w:r>
            <w:r>
              <w:rPr>
                <w:rFonts w:ascii="Arial" w:cs="Arial" w:eastAsia="Arial" w:hAnsi="Arial"/>
                <w:sz w:val="21"/>
                <w:szCs w:val="21"/>
                <w:color w:val="auto"/>
                <w:vertAlign w:val="superscript"/>
              </w:rPr>
              <w:t>(5)</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1,535,343</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3.5% 1,535,343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Michael Diem, M.D.</w:t>
            </w:r>
            <w:r>
              <w:rPr>
                <w:rFonts w:ascii="Arial" w:cs="Arial" w:eastAsia="Arial" w:hAnsi="Arial"/>
                <w:sz w:val="21"/>
                <w:szCs w:val="21"/>
                <w:color w:val="auto"/>
                <w:vertAlign w:val="superscript"/>
              </w:rPr>
              <w:t>(6)</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371,092</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371,092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36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Hyam Levitsky, M.D.</w:t>
            </w:r>
            <w:r>
              <w:rPr>
                <w:rFonts w:ascii="Arial" w:cs="Arial" w:eastAsia="Arial" w:hAnsi="Arial"/>
                <w:sz w:val="21"/>
                <w:szCs w:val="21"/>
                <w:color w:val="auto"/>
                <w:vertAlign w:val="superscript"/>
              </w:rPr>
              <w:t>(7)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536,544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536,544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494,346</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494,346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Eckhart,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Cynthia Butitta</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Kimberly Blackwell, M.D.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Alessandro Riva,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All current directors and executive officers as a group</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Arial" w:cs="Arial" w:eastAsia="Arial" w:hAnsi="Arial"/>
                <w:sz w:val="14"/>
                <w:szCs w:val="14"/>
                <w:color w:val="auto"/>
              </w:rPr>
              <w:t>(14 persons)</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6,869,212</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14.0% 6,869,212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-2202180</wp:posOffset>
            </wp:positionV>
            <wp:extent cx="4610735" cy="135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-1930400</wp:posOffset>
            </wp:positionV>
            <wp:extent cx="4610735" cy="135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-1664970</wp:posOffset>
            </wp:positionV>
            <wp:extent cx="4610735" cy="135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34290</wp:posOffset>
            </wp:positionV>
            <wp:extent cx="4610735"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610735" cy="13335"/>
                    </a:xfrm>
                    <a:prstGeom prst="rect">
                      <a:avLst/>
                    </a:prstGeom>
                    <a:noFill/>
                  </pic:spPr>
                </pic:pic>
              </a:graphicData>
            </a:graphic>
          </wp:anchor>
        </w:drawing>
      </w:r>
    </w:p>
    <w:p>
      <w:pPr>
        <w:spacing w:after="0" w:line="98" w:lineRule="exact"/>
        <w:rPr>
          <w:sz w:val="20"/>
          <w:szCs w:val="20"/>
          <w:color w:val="auto"/>
        </w:rPr>
      </w:pPr>
    </w:p>
    <w:p>
      <w:pPr>
        <w:ind w:left="1240" w:right="1299" w:firstLine="9"/>
        <w:spacing w:after="0" w:line="224"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9,936,011 shares of common stock issuable upon conversion of 25,000,000 shares of Series A preferred stock upon the closing of this offering held by Versant Venture Capital VI, L.P., or Versant VI, (ii) 2,980,803 shares of common stock held by Versant VI and (iii) 614,095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49" w:lineRule="exact"/>
        <w:rPr>
          <w:rFonts w:ascii="Arial" w:cs="Arial" w:eastAsia="Arial" w:hAnsi="Arial"/>
          <w:sz w:val="11"/>
          <w:szCs w:val="11"/>
          <w:color w:val="auto"/>
        </w:rPr>
      </w:pPr>
    </w:p>
    <w:p>
      <w:pPr>
        <w:ind w:left="1240" w:right="1299" w:firstLine="9"/>
        <w:spacing w:after="0" w:line="228"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3,974,404 shares of common stock issuable upon the conversion of 10,000,000 shares of Series A preferred stock upon the closing of this offering held by FCDI and (ii) 2,980,803 shares of common stock held by FCDI.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54" w:lineRule="exact"/>
        <w:rPr>
          <w:rFonts w:ascii="Arial" w:cs="Arial" w:eastAsia="Arial" w:hAnsi="Arial"/>
          <w:sz w:val="11"/>
          <w:szCs w:val="11"/>
          <w:color w:val="auto"/>
        </w:rPr>
      </w:pPr>
    </w:p>
    <w:p>
      <w:pPr>
        <w:ind w:left="1240" w:right="1299" w:firstLine="9"/>
        <w:spacing w:after="0" w:line="226" w:lineRule="auto"/>
        <w:tabs>
          <w:tab w:leader="none" w:pos="1509"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10,390,600 shares of common stock issuable upon the conversion of 26,143,790 shares of Series B preferred stock upon the closing of this offering, and (ii) 1,535,238 shares of common stock issuable upon the conversion of 3,862,813 shares of Series C preferred stock upon the closing of this offering held by Bayer World Investments B.V.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43" w:lineRule="exact"/>
        <w:rPr>
          <w:rFonts w:ascii="Arial" w:cs="Arial" w:eastAsia="Arial" w:hAnsi="Arial"/>
          <w:sz w:val="11"/>
          <w:szCs w:val="11"/>
          <w:color w:val="auto"/>
        </w:rPr>
      </w:pPr>
    </w:p>
    <w:p>
      <w:pPr>
        <w:ind w:left="1240" w:right="1279" w:firstLine="9"/>
        <w:spacing w:after="0" w:line="225" w:lineRule="auto"/>
        <w:tabs>
          <w:tab w:leader="none" w:pos="1476"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Consists of (i) 1,228,190 shares of common stock issuable upon the conversion of 3,090,250 shares of Series C preferred stock upon the closing of this offering held by Casdin Partners Master Fund, L.P., or Casdin PMF, and (ii) 1,228,190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28" w:lineRule="auto"/>
        <w:rPr>
          <w:sz w:val="20"/>
          <w:szCs w:val="20"/>
          <w:color w:val="auto"/>
        </w:rPr>
      </w:pPr>
      <w:r>
        <w:rPr>
          <w:rFonts w:ascii="Arial" w:cs="Arial" w:eastAsia="Arial" w:hAnsi="Arial"/>
          <w:sz w:val="11"/>
          <w:szCs w:val="11"/>
          <w:color w:val="auto"/>
        </w:rPr>
        <w:t>control over Casdin PGEF. Each of Casdin Capital, LLC, Casdin Partners GP, Casdin PGEF GP, and Mr. Casdin disclaims beneficial ownership of such 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44" w:lineRule="exact"/>
        <w:rPr>
          <w:sz w:val="20"/>
          <w:szCs w:val="20"/>
          <w:color w:val="auto"/>
        </w:rPr>
      </w:pPr>
    </w:p>
    <w:p>
      <w:pPr>
        <w:ind w:left="1240" w:right="1379" w:firstLine="9"/>
        <w:spacing w:after="0" w:line="227"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(i) 526,839 shares of common stock; and (ii) 213,624 shares of common stock issuable pursuant to options that are exercisable within 60 days of June 11, 2021 assuming the achievement of the milestones applicable to the Performance Option by virtue of this offering held by Dr. Flores, 397,440 shares of common stock held by Nancy Stone, Dr. Flores’ wife, and 397,440 shares of common stock held by the Flores Family Trust for Gabriel O. Flores dated October 27, 2016, or the Flores Trust. Ms. Stone is trustee of the Flores Trust. Dr. Flores disclaims beneficial ownership of the shares held by each of Ms. Stone and the Flores Trust.</w:t>
      </w:r>
    </w:p>
    <w:p>
      <w:pPr>
        <w:spacing w:after="0" w:line="42" w:lineRule="exact"/>
        <w:rPr>
          <w:rFonts w:ascii="Arial" w:cs="Arial" w:eastAsia="Arial" w:hAnsi="Arial"/>
          <w:sz w:val="11"/>
          <w:szCs w:val="11"/>
          <w:color w:val="auto"/>
        </w:rPr>
      </w:pPr>
    </w:p>
    <w:p>
      <w:pPr>
        <w:ind w:left="1240" w:right="1599" w:firstLine="9"/>
        <w:spacing w:after="0" w:line="234"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(i) 79,488 shares of common stock; and (ii) 291,604 shares of common stock that are issuable as shares of restricted stock pursuant to options that are exercisable within 60 days of June 11, 2021.</w:t>
      </w:r>
    </w:p>
    <w:p>
      <w:pPr>
        <w:spacing w:after="0" w:line="53" w:lineRule="exact"/>
        <w:rPr>
          <w:rFonts w:ascii="Arial" w:cs="Arial" w:eastAsia="Arial" w:hAnsi="Arial"/>
          <w:sz w:val="11"/>
          <w:szCs w:val="11"/>
          <w:color w:val="auto"/>
        </w:rPr>
      </w:pPr>
    </w:p>
    <w:p>
      <w:pPr>
        <w:ind w:left="1240" w:right="1399" w:firstLine="9"/>
        <w:spacing w:after="0" w:line="230" w:lineRule="auto"/>
        <w:tabs>
          <w:tab w:leader="none" w:pos="1476"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Consists of 536,545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Description of capital stock</w:t>
      </w:r>
    </w:p>
    <w:p>
      <w:pPr>
        <w:spacing w:after="0" w:line="147" w:lineRule="exact"/>
        <w:rPr>
          <w:sz w:val="20"/>
          <w:szCs w:val="20"/>
          <w:color w:val="auto"/>
        </w:rPr>
      </w:pPr>
    </w:p>
    <w:p>
      <w:pPr>
        <w:ind w:left="1240" w:right="1319"/>
        <w:spacing w:after="0" w:line="231" w:lineRule="auto"/>
        <w:rPr>
          <w:sz w:val="20"/>
          <w:szCs w:val="20"/>
          <w:color w:val="auto"/>
        </w:rPr>
      </w:pPr>
      <w:r>
        <w:rPr>
          <w:rFonts w:ascii="Arial" w:cs="Arial" w:eastAsia="Arial" w:hAnsi="Arial"/>
          <w:sz w:val="14"/>
          <w:szCs w:val="14"/>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General</w:t>
      </w:r>
    </w:p>
    <w:p>
      <w:pPr>
        <w:spacing w:after="0" w:line="118"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Upon the closing of this offering and the filing of our second amended and restated certificate of incorporation, our authorized capital stock will consist of 300,000,000 shares of common stock, par value $0.0001 per share, and 10,000,000 shares of preferred stock, par value $0.0001 per share. All of our outstanding shares of common stock are, and the shares of common stock to be issued in this offering will be, fully paid and nonassessable.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Common stock</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Outstanding shares</w:t>
      </w:r>
    </w:p>
    <w:p>
      <w:pPr>
        <w:spacing w:after="0" w:line="133"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As of June 11, 2021, there would have been 44,274,608 shares of common stock outstanding, held by stockholders of record, after giving effect to the automatic conversion of all our preferred stock outstanding into an aggregate of 34,126,528 shares of our common stock immediately upon the closing of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rights</w:t>
      </w:r>
    </w:p>
    <w:p>
      <w:pPr>
        <w:spacing w:after="0" w:line="123"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Dividends</w:t>
      </w:r>
    </w:p>
    <w:p>
      <w:pPr>
        <w:spacing w:after="0" w:line="123"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Liquidation</w:t>
      </w:r>
    </w:p>
    <w:p>
      <w:pPr>
        <w:spacing w:after="0" w:line="13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In the event of our liquidation, dissolution or winding up, holders of our common stock will be entitled to share ratably in the net assets legally available for distribution to stockholders after the payment of all of our debts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70" w:lineRule="auto"/>
        <w:rPr>
          <w:sz w:val="20"/>
          <w:szCs w:val="20"/>
          <w:color w:val="auto"/>
        </w:rPr>
      </w:pPr>
      <w:r>
        <w:rPr>
          <w:rFonts w:ascii="Arial" w:cs="Arial" w:eastAsia="Arial" w:hAnsi="Arial"/>
          <w:sz w:val="14"/>
          <w:szCs w:val="14"/>
          <w:color w:val="auto"/>
        </w:rPr>
        <w:t>other liabilities and the satisfaction of any liquidation preference granted to the holders of any then outstanding shares of preferred stock.</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Rights and preferences</w:t>
      </w:r>
    </w:p>
    <w:p>
      <w:pPr>
        <w:spacing w:after="0" w:line="12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Preferred stock</w:t>
      </w:r>
    </w:p>
    <w:p>
      <w:pPr>
        <w:spacing w:after="0" w:line="12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Upon the closing of this offering, all outstanding shares of our preferred stock will be automatically converted into an aggregate of 34,126,528 shares of common stock. Under the terms of our second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Warrants</w:t>
      </w:r>
    </w:p>
    <w:p>
      <w:pPr>
        <w:spacing w:after="0" w:line="118"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Pursuant to our warrant agreement between us and Hercules Technology Management Co II, Inc., or Hercules, as of May 31, 2021, Hercules held warrants to purchase an aggregate of 16,112 shares of our common stock at an exercise price of $13.96 per share, subject to customary adjustments provided in the warrant agreement. These warrants may be exercised at any time and from time to time, in whole or in part, prior to September 14, 2030.</w:t>
      </w:r>
    </w:p>
    <w:p>
      <w:pPr>
        <w:spacing w:after="0" w:line="106"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On May 27, 2021 we issued Danforth Advisors, LLC, or Danforth, a warrant to purchase 15,897 shares of our common stock at an exercise price of $7.27 per share. The warrant held by Danforth is immediately exercisable and will expire on May 27, 2031.</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Stock options and grant plan shares</w:t>
      </w:r>
    </w:p>
    <w:p>
      <w:pPr>
        <w:spacing w:after="0" w:line="129"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 of June 11, 2021, 5,389,519 shares of our common stock were issuable upon the exercise of stock options at a weighted-average exercise price of $3.74 per share. For additional information regarding terms of our equity incentive plans, see the section titled “Executive compensation— Equity incentive plans.”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18"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1" w:lineRule="exact"/>
        <w:rPr>
          <w:sz w:val="20"/>
          <w:szCs w:val="20"/>
          <w:color w:val="auto"/>
        </w:rPr>
      </w:pPr>
    </w:p>
    <w:p>
      <w:pPr>
        <w:jc w:val="both"/>
        <w:ind w:left="1240" w:right="1379" w:firstLine="9"/>
        <w:spacing w:after="0" w:line="255" w:lineRule="auto"/>
        <w:tabs>
          <w:tab w:leader="none" w:pos="146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ind w:left="1240" w:right="1439" w:firstLine="9"/>
        <w:spacing w:after="0" w:line="263" w:lineRule="auto"/>
        <w:tabs>
          <w:tab w:leader="none" w:pos="142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939"/>
        <w:spacing w:after="0" w:line="278" w:lineRule="auto"/>
        <w:rPr>
          <w:sz w:val="20"/>
          <w:szCs w:val="20"/>
          <w:color w:val="auto"/>
        </w:rPr>
      </w:pPr>
      <w:r>
        <w:rPr>
          <w:rFonts w:ascii="Arial" w:cs="Arial" w:eastAsia="Arial" w:hAnsi="Arial"/>
          <w:sz w:val="14"/>
          <w:szCs w:val="14"/>
          <w:color w:val="auto"/>
        </w:rPr>
        <w:t>Holders of 40,088,134 shares of our common stock (including shares issuable upon the conversion of our preferred stock) are entitled to such registration rights pursuant to the investors’ rights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Expenses of registration</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144" w:lineRule="exact"/>
        <w:rPr>
          <w:sz w:val="20"/>
          <w:szCs w:val="20"/>
          <w:color w:val="auto"/>
        </w:rPr>
      </w:pPr>
    </w:p>
    <w:p>
      <w:pPr>
        <w:ind w:left="1240" w:right="1379"/>
        <w:spacing w:after="0" w:line="281" w:lineRule="auto"/>
        <w:rPr>
          <w:sz w:val="20"/>
          <w:szCs w:val="20"/>
          <w:color w:val="auto"/>
        </w:rPr>
      </w:pPr>
      <w:r>
        <w:rPr>
          <w:rFonts w:ascii="Arial" w:cs="Arial" w:eastAsia="Arial" w:hAnsi="Arial"/>
          <w:sz w:val="14"/>
          <w:szCs w:val="14"/>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At any time beginning six months after the closing of this offering, the holders of a majority of the common stock issued or issuable upon conversion of our preferred stock then outstanding may, on not more than two occasions, 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40"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Section 203 of the Delaware General Corporation Law</w:t>
      </w:r>
    </w:p>
    <w:p>
      <w:pPr>
        <w:spacing w:after="0" w:line="133"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Elimination of stockholder action by written consent</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Amendment of charter provisions</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Our second amended and restated certificate of incorporation will further provide that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 power of all of the then outstanding shares of voting stock, voting as a single class. Additionally, our amended and restated bylaws may be amended by a simple majority vote of our board of directors.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election and removal of directors</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Choice of forum</w:t>
      </w:r>
    </w:p>
    <w:p>
      <w:pPr>
        <w:spacing w:after="0" w:line="133"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w:t>
      </w:r>
    </w:p>
    <w:p>
      <w:pPr>
        <w:spacing w:after="0" w:line="3" w:lineRule="exact"/>
        <w:rPr>
          <w:sz w:val="20"/>
          <w:szCs w:val="20"/>
          <w:color w:val="auto"/>
        </w:rPr>
      </w:pPr>
    </w:p>
    <w:p>
      <w:pPr>
        <w:ind w:left="1240" w:right="1359" w:firstLine="9"/>
        <w:spacing w:after="0" w:line="278" w:lineRule="auto"/>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other action asserting an “internal corporate claim,” as defined in Section 115 of the DGCL, in all cases subject to the court having personal jurisdiction over all indispensable parties named as defendants.</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Any person or entity purchasing or otherwise acquiring or holding any interest in any of our securities will be deemed to have notice of and consented to this provision.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40"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For a discussion of liability and indemnification, see “Management—Limitation on Liability and Indemnification Matters.”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Listing</w:t>
      </w:r>
    </w:p>
    <w:p>
      <w:pPr>
        <w:spacing w:after="0" w:line="129" w:lineRule="exact"/>
        <w:rPr>
          <w:sz w:val="20"/>
          <w:szCs w:val="20"/>
          <w:color w:val="auto"/>
        </w:rPr>
      </w:pPr>
    </w:p>
    <w:p>
      <w:pPr>
        <w:ind w:left="1240" w:right="1299"/>
        <w:spacing w:after="0" w:line="286"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Transfer agent and registrar</w:t>
      </w:r>
    </w:p>
    <w:p>
      <w:pPr>
        <w:spacing w:after="0" w:line="140" w:lineRule="exact"/>
        <w:rPr>
          <w:sz w:val="20"/>
          <w:szCs w:val="20"/>
          <w:color w:val="auto"/>
        </w:rPr>
      </w:pPr>
    </w:p>
    <w:p>
      <w:pPr>
        <w:ind w:left="1240" w:right="1799"/>
        <w:spacing w:after="0" w:line="286" w:lineRule="auto"/>
        <w:rPr>
          <w:sz w:val="20"/>
          <w:szCs w:val="20"/>
          <w:color w:val="auto"/>
        </w:rPr>
      </w:pPr>
      <w:r>
        <w:rPr>
          <w:rFonts w:ascii="Arial" w:cs="Arial" w:eastAsia="Arial" w:hAnsi="Arial"/>
          <w:sz w:val="14"/>
          <w:szCs w:val="14"/>
          <w:color w:val="auto"/>
        </w:rPr>
        <w:t>The transfer agent and registrar for our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Shares eligible for future sale</w:t>
      </w:r>
    </w:p>
    <w:p>
      <w:pPr>
        <w:spacing w:after="0" w:line="11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0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Based on the number of shares of common stock outstanding as of June 11, 2021, upon the closing of this offering and assuming (i) the automatic conversion of all our preferred stock outstanding as of June 11, 2021 into an aggregate of 34,126,528 shares of our common stock upon the closing of this offering, (ii) no exercise of the underwriters’ option to purchase additional shares of common stock, and (iii) no exercise of outstanding options or warrants, we will have outstanding an aggregate of approximately 54,824,608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8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As a result of the lock-up agreements referred to below and the provisions of Rule 144 and</w:t>
      </w:r>
    </w:p>
    <w:p>
      <w:pPr>
        <w:spacing w:after="0" w:line="10"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Rule 701, based on the number of shares of our common stock outstanding as of June 11, 2021, the remaining shares of our common stock will generally become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460875" cy="13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Approximate number of sharesFirst date available for sale on the public markets</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40,088,134 shares</w:t>
            </w:r>
          </w:p>
        </w:tc>
        <w:tc>
          <w:tcPr>
            <w:tcW w:w="54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181 days after the date of this prospectus, upon expiration of the lock-up</w:t>
            </w:r>
          </w:p>
        </w:tc>
      </w:tr>
      <w:tr>
        <w:trPr>
          <w:trHeight w:val="171"/>
        </w:trPr>
        <w:tc>
          <w:tcPr>
            <w:tcW w:w="2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agreements referred to below, subject in some cases to applicable volume,</w:t>
            </w:r>
          </w:p>
        </w:tc>
      </w:tr>
      <w:tr>
        <w:trPr>
          <w:trHeight w:val="184"/>
        </w:trPr>
        <w:tc>
          <w:tcPr>
            <w:tcW w:w="20" w:type="dxa"/>
            <w:vAlign w:val="bottom"/>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manner of sale and other limitations under Rule 144 and Rule 701.</w:t>
            </w: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We may issue shares of common stock from time to time as consideration for future acquisitions, investments, or other corporate purposes.</w:t>
      </w:r>
    </w:p>
    <w:p>
      <w:pPr>
        <w:spacing w:after="0" w:line="98"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5"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144</w:t>
      </w:r>
    </w:p>
    <w:p>
      <w:pPr>
        <w:spacing w:after="0" w:line="129"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70" w:lineRule="auto"/>
        <w:rPr>
          <w:sz w:val="20"/>
          <w:szCs w:val="20"/>
          <w:color w:val="auto"/>
        </w:rPr>
      </w:pPr>
      <w:r>
        <w:rPr>
          <w:rFonts w:ascii="Arial" w:cs="Arial" w:eastAsia="Arial" w:hAnsi="Arial"/>
          <w:sz w:val="14"/>
          <w:szCs w:val="14"/>
          <w:color w:val="auto"/>
        </w:rPr>
        <w:t>shares in the public market without complying with any of the requirements of Rule 144 (subject to the lock-up agreement referred to below, if applicable).</w:t>
      </w:r>
    </w:p>
    <w:p>
      <w:pPr>
        <w:spacing w:after="0" w:line="88" w:lineRule="exact"/>
        <w:rPr>
          <w:sz w:val="20"/>
          <w:szCs w:val="20"/>
          <w:color w:val="auto"/>
        </w:rPr>
      </w:pPr>
    </w:p>
    <w:p>
      <w:pPr>
        <w:ind w:left="1240" w:right="1439"/>
        <w:spacing w:after="0" w:line="258"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86" w:lineRule="exact"/>
        <w:rPr>
          <w:sz w:val="20"/>
          <w:szCs w:val="20"/>
          <w:color w:val="auto"/>
        </w:rPr>
      </w:pPr>
    </w:p>
    <w:p>
      <w:pPr>
        <w:ind w:left="1360" w:right="1279" w:hanging="111"/>
        <w:spacing w:after="0" w:line="275"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which will equal approximately 548,246 shares of common stock immediately upon the closing of this offering (calculated as of June 11, 2021 on the basis of the assumptions described above and assuming no exercise of the underwriter’s option to purchase additional shares and no exercise of outstanding options or warrants subsequent to June 11, 2021); or</w:t>
      </w:r>
    </w:p>
    <w:p>
      <w:pPr>
        <w:spacing w:after="0" w:line="73"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7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701</w:t>
      </w:r>
    </w:p>
    <w:p>
      <w:pPr>
        <w:spacing w:after="0" w:line="129" w:lineRule="exact"/>
        <w:rPr>
          <w:sz w:val="20"/>
          <w:szCs w:val="20"/>
          <w:color w:val="auto"/>
        </w:rPr>
      </w:pPr>
    </w:p>
    <w:p>
      <w:pPr>
        <w:ind w:left="1240" w:right="1319"/>
        <w:spacing w:after="0" w:line="255" w:lineRule="auto"/>
        <w:rPr>
          <w:sz w:val="20"/>
          <w:szCs w:val="20"/>
          <w:color w:val="auto"/>
        </w:rPr>
      </w:pPr>
      <w:r>
        <w:rPr>
          <w:rFonts w:ascii="Arial" w:cs="Arial" w:eastAsia="Arial" w:hAnsi="Arial"/>
          <w:sz w:val="14"/>
          <w:szCs w:val="14"/>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2"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Lock-up agreements</w:t>
      </w:r>
    </w:p>
    <w:p>
      <w:pPr>
        <w:spacing w:after="0" w:line="129"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274"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 restricted stock purchase agreement, that contain market stand-off provisions or incorporate market stand-off</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provisions from our equity incentive plan imposing restrictions on the ability of such security holders to offer, sell, or transfer our equity securities for a period of 180 days following the date of this prospectus.</w:t>
      </w:r>
    </w:p>
    <w:p>
      <w:pPr>
        <w:spacing w:after="0" w:line="263"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Upon the closing of this offering, the holders of up to approximately 40,088,134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09" w:lineRule="exact"/>
        <w:rPr>
          <w:sz w:val="20"/>
          <w:szCs w:val="20"/>
          <w:color w:val="auto"/>
        </w:rPr>
      </w:pPr>
    </w:p>
    <w:p>
      <w:pPr>
        <w:ind w:left="1240" w:right="1399"/>
        <w:spacing w:after="0" w:line="277" w:lineRule="auto"/>
        <w:rPr>
          <w:sz w:val="20"/>
          <w:szCs w:val="20"/>
          <w:color w:val="auto"/>
        </w:rPr>
      </w:pPr>
      <w:r>
        <w:rPr>
          <w:rFonts w:ascii="Arial" w:cs="Arial" w:eastAsia="Arial" w:hAnsi="Arial"/>
          <w:sz w:val="14"/>
          <w:szCs w:val="14"/>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274" w:lineRule="exact"/>
        <w:rPr>
          <w:sz w:val="20"/>
          <w:szCs w:val="20"/>
          <w:color w:val="auto"/>
        </w:rPr>
      </w:pPr>
    </w:p>
    <w:p>
      <w:pPr>
        <w:jc w:val="both"/>
        <w:ind w:left="1240" w:right="1299"/>
        <w:spacing w:after="0" w:line="281" w:lineRule="auto"/>
        <w:rPr>
          <w:sz w:val="20"/>
          <w:szCs w:val="20"/>
          <w:color w:val="auto"/>
        </w:rPr>
      </w:pPr>
      <w:r>
        <w:rPr>
          <w:rFonts w:ascii="Arial" w:cs="Arial" w:eastAsia="Arial" w:hAnsi="Arial"/>
          <w:sz w:val="14"/>
          <w:szCs w:val="14"/>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281"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519"/>
        <w:spacing w:after="0" w:line="248" w:lineRule="auto"/>
        <w:rPr>
          <w:sz w:val="20"/>
          <w:szCs w:val="20"/>
          <w:color w:val="auto"/>
        </w:rPr>
      </w:pPr>
      <w:r>
        <w:rPr>
          <w:rFonts w:ascii="Arial" w:cs="Arial" w:eastAsia="Arial" w:hAnsi="Arial"/>
          <w:sz w:val="23"/>
          <w:szCs w:val="23"/>
          <w:b w:val="1"/>
          <w:bCs w:val="1"/>
          <w:color w:val="auto"/>
        </w:rPr>
        <w:t>Material U.S. federal income tax consequences to Non-U.S. holders</w:t>
      </w:r>
    </w:p>
    <w:p>
      <w:pPr>
        <w:spacing w:after="0" w:line="73"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4"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holding our common stock as part of a hedge, straddle or other risk reduction strategy or as part of a conversion transaction, or other integrated investment;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9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partnerships, other entities, or arrangements treated as partnerships for U.S. federal income tax purposes (and investors therein);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deemed to sell our common stock under the constructive sale provisions of the Code;</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06"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“qualified foreign pension funds” and entities, all of the interests of which are held by qualified foreign pension funds; and</w:t>
      </w:r>
    </w:p>
    <w:p>
      <w:pPr>
        <w:spacing w:after="0" w:line="66" w:lineRule="exact"/>
        <w:rPr>
          <w:rFonts w:ascii="Arial" w:cs="Arial" w:eastAsia="Arial" w:hAnsi="Arial"/>
          <w:sz w:val="14"/>
          <w:szCs w:val="14"/>
          <w:color w:val="auto"/>
        </w:rPr>
      </w:pPr>
    </w:p>
    <w:p>
      <w:pPr>
        <w:jc w:val="both"/>
        <w:ind w:left="1360" w:right="159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8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7" w:lineRule="exact"/>
        <w:rPr>
          <w:sz w:val="20"/>
          <w:szCs w:val="20"/>
          <w:color w:val="auto"/>
        </w:rPr>
      </w:pPr>
    </w:p>
    <w:p>
      <w:pPr>
        <w:ind w:left="1240" w:right="1459"/>
        <w:spacing w:after="0" w:line="276"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419"/>
        <w:spacing w:after="0" w:line="301" w:lineRule="auto"/>
        <w:rPr>
          <w:sz w:val="20"/>
          <w:szCs w:val="20"/>
          <w:color w:val="auto"/>
        </w:rPr>
      </w:pPr>
      <w:r>
        <w:rPr>
          <w:rFonts w:ascii="Arial" w:cs="Arial" w:eastAsia="Arial" w:hAnsi="Arial"/>
          <w:sz w:val="14"/>
          <w:szCs w:val="14"/>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Definition of a Non-U.S. holder</w:t>
      </w:r>
    </w:p>
    <w:p>
      <w:pPr>
        <w:spacing w:after="0" w:line="129"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4" w:lineRule="exact"/>
        <w:rPr>
          <w:sz w:val="20"/>
          <w:szCs w:val="20"/>
          <w:color w:val="auto"/>
        </w:rPr>
      </w:pPr>
    </w:p>
    <w:p>
      <w:pPr>
        <w:ind w:left="1360" w:hanging="111"/>
        <w:spacing w:after="0"/>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7"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 corporation or entity treated as a corporation that is created or organized under the laws of the United States, any state thereof, or the District of Columbia;</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17" w:lineRule="exact"/>
        <w:rPr>
          <w:rFonts w:ascii="Arial" w:cs="Arial" w:eastAsia="Arial" w:hAnsi="Arial"/>
          <w:sz w:val="14"/>
          <w:szCs w:val="14"/>
          <w:color w:val="auto"/>
        </w:rPr>
      </w:pPr>
    </w:p>
    <w:p>
      <w:pPr>
        <w:ind w:left="1360" w:right="1619" w:hanging="111"/>
        <w:spacing w:after="0" w:line="271" w:lineRule="auto"/>
        <w:tabs>
          <w:tab w:leader="none" w:pos="1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 trust that (i) is subject to the primary supervision of a U.S. court and the control of one or more “United States persons” (within the meaning of Section 7701(a)(30) of the Code), or</w:t>
      </w:r>
    </w:p>
    <w:p>
      <w:pPr>
        <w:ind w:left="1360" w:right="1339"/>
        <w:spacing w:after="0" w:line="286" w:lineRule="auto"/>
        <w:rPr>
          <w:rFonts w:ascii="Arial" w:cs="Arial" w:eastAsia="Arial" w:hAnsi="Arial"/>
          <w:sz w:val="14"/>
          <w:szCs w:val="14"/>
          <w:color w:val="auto"/>
        </w:rPr>
      </w:pPr>
      <w:r>
        <w:rPr>
          <w:rFonts w:ascii="Arial" w:cs="Arial" w:eastAsia="Arial" w:hAnsi="Arial"/>
          <w:sz w:val="14"/>
          <w:szCs w:val="14"/>
          <w:color w:val="auto"/>
        </w:rPr>
        <w:t>(ii) has a valid election in effect to be treated as a United States person for U.S. federal income tax purposes.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Distributions</w:t>
      </w:r>
    </w:p>
    <w:p>
      <w:pPr>
        <w:spacing w:after="0" w:line="140"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8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88"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Sale or other taxable disposition</w:t>
      </w:r>
    </w:p>
    <w:p>
      <w:pPr>
        <w:spacing w:after="0" w:line="129"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72" w:lineRule="exact"/>
        <w:rPr>
          <w:sz w:val="20"/>
          <w:szCs w:val="20"/>
          <w:color w:val="auto"/>
        </w:rPr>
      </w:pPr>
    </w:p>
    <w:p>
      <w:pPr>
        <w:ind w:left="1360" w:right="1459" w:hanging="111"/>
        <w:spacing w:after="0" w:line="27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4"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or USRPI, by reason of our status as a U.S. real property holding corporation, or USRPHC, for U.S. federal income tax purposes.</w:t>
      </w:r>
    </w:p>
    <w:p>
      <w:pPr>
        <w:spacing w:after="0" w:line="87"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283"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4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94"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40"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93"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279" w:lineRule="exact"/>
        <w:rPr>
          <w:sz w:val="20"/>
          <w:szCs w:val="20"/>
          <w:color w:val="auto"/>
        </w:rPr>
      </w:pPr>
    </w:p>
    <w:p>
      <w:pPr>
        <w:ind w:left="1240" w:right="1679"/>
        <w:spacing w:after="0" w:line="286"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Underwriting</w:t>
      </w:r>
    </w:p>
    <w:p>
      <w:pPr>
        <w:spacing w:after="0" w:line="11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shares of</w:t>
            </w:r>
          </w:p>
        </w:tc>
      </w:tr>
      <w:tr>
        <w:trPr>
          <w:trHeight w:val="178"/>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common stock</w:t>
            </w:r>
          </w:p>
        </w:tc>
      </w:tr>
      <w:tr>
        <w:trPr>
          <w:trHeight w:val="171"/>
        </w:trPr>
        <w:tc>
          <w:tcPr>
            <w:tcW w:w="20" w:type="dxa"/>
            <w:vAlign w:val="bottom"/>
          </w:tcPr>
          <w:p>
            <w:pPr>
              <w:spacing w:after="0"/>
              <w:rPr>
                <w:sz w:val="14"/>
                <w:szCs w:val="14"/>
                <w:color w:val="auto"/>
              </w:rPr>
            </w:pPr>
          </w:p>
        </w:tc>
        <w:tc>
          <w:tcPr>
            <w:tcW w:w="54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J.P. Morgan Securities LLC</w:t>
            </w: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1"/>
        </w:trPr>
        <w:tc>
          <w:tcPr>
            <w:tcW w:w="548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1040" w:type="dxa"/>
            <w:vAlign w:val="bottom"/>
          </w:tcPr>
          <w:p>
            <w:pPr>
              <w:spacing w:after="0"/>
              <w:rPr>
                <w:sz w:val="15"/>
                <w:szCs w:val="15"/>
                <w:color w:val="auto"/>
              </w:rPr>
            </w:pPr>
          </w:p>
        </w:tc>
      </w:tr>
      <w:tr>
        <w:trPr>
          <w:trHeight w:val="22"/>
        </w:trPr>
        <w:tc>
          <w:tcPr>
            <w:tcW w:w="5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SVB Leerink LLC</w:t>
            </w:r>
          </w:p>
        </w:tc>
        <w:tc>
          <w:tcPr>
            <w:tcW w:w="1040" w:type="dxa"/>
            <w:vAlign w:val="bottom"/>
            <w:tcBorders>
              <w:bottom w:val="single" w:sz="8" w:color="CCEEFF"/>
            </w:tcBorders>
            <w:shd w:val="clear" w:color="auto" w:fill="CCEEFF"/>
          </w:tcPr>
          <w:p>
            <w:pPr>
              <w:spacing w:after="0"/>
              <w:rPr>
                <w:sz w:val="15"/>
                <w:szCs w:val="15"/>
                <w:color w:val="auto"/>
              </w:rPr>
            </w:pPr>
          </w:p>
        </w:tc>
      </w:tr>
      <w:tr>
        <w:trPr>
          <w:trHeight w:val="187"/>
        </w:trPr>
        <w:tc>
          <w:tcPr>
            <w:tcW w:w="5480" w:type="dxa"/>
            <w:vAlign w:val="bottom"/>
            <w:gridSpan w:val="2"/>
          </w:tcPr>
          <w:p>
            <w:pPr>
              <w:spacing w:after="0"/>
              <w:rPr>
                <w:sz w:val="20"/>
                <w:szCs w:val="20"/>
                <w:color w:val="auto"/>
              </w:rPr>
            </w:pPr>
            <w:r>
              <w:rPr>
                <w:rFonts w:ascii="Arial" w:cs="Arial" w:eastAsia="Arial" w:hAnsi="Arial"/>
                <w:sz w:val="14"/>
                <w:szCs w:val="14"/>
                <w:color w:val="auto"/>
              </w:rPr>
              <w:t>Piper Sandler &amp; Co.</w:t>
            </w:r>
          </w:p>
        </w:tc>
        <w:tc>
          <w:tcPr>
            <w:tcW w:w="10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w w:val="99"/>
              </w:rPr>
              <w:t>10,550,000</w:t>
            </w: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47472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74720" cy="6985"/>
                    </a:xfrm>
                    <a:prstGeom prst="rect">
                      <a:avLst/>
                    </a:prstGeom>
                    <a:noFill/>
                  </pic:spPr>
                </pic:pic>
              </a:graphicData>
            </a:graphic>
          </wp:anchor>
        </w:drawing>
      </w:r>
    </w:p>
    <w:p>
      <w:pPr>
        <w:spacing w:after="0" w:line="86"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40" w:right="1419"/>
        <w:spacing w:after="0" w:line="255" w:lineRule="auto"/>
        <w:rPr>
          <w:sz w:val="20"/>
          <w:szCs w:val="20"/>
          <w:color w:val="auto"/>
        </w:rPr>
      </w:pPr>
      <w:r>
        <w:rPr>
          <w:rFonts w:ascii="Arial" w:cs="Arial" w:eastAsia="Arial" w:hAnsi="Arial"/>
          <w:sz w:val="14"/>
          <w:szCs w:val="14"/>
          <w:color w:val="auto"/>
        </w:rPr>
        <w:t>The underwriters propose to offer the shares of common stock directly to the public at the initial public offering price set forth on the cover page of this prospectus and to certain dealers at that</w:t>
      </w:r>
    </w:p>
    <w:p>
      <w:pPr>
        <w:spacing w:after="0" w:line="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price less a concession not in excess of $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277"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The underwriters have an option to buy up to 1,582,500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underwriting fee is equal to the public offering price per common share less the amount paid</w:t>
      </w:r>
    </w:p>
    <w:p>
      <w:pPr>
        <w:spacing w:after="0" w:line="21"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by the underwriters to us per common share.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Without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With full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option to</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option to</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purchase</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purchase</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shares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exercise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0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Total</w:t>
            </w:r>
          </w:p>
        </w:tc>
        <w:tc>
          <w:tcPr>
            <w:tcW w:w="3220" w:type="dxa"/>
            <w:vAlign w:val="bottom"/>
            <w:gridSpan w:val="2"/>
          </w:tcPr>
          <w:p>
            <w:pPr>
              <w:jc w:val="right"/>
              <w:ind w:right="835"/>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60" w:type="dxa"/>
            <w:vAlign w:val="bottom"/>
          </w:tcPr>
          <w:p>
            <w:pPr>
              <w:jc w:val="right"/>
              <w:ind w:right="849"/>
              <w:spacing w:after="0"/>
              <w:rPr>
                <w:sz w:val="20"/>
                <w:szCs w:val="20"/>
                <w:color w:val="auto"/>
              </w:rPr>
            </w:pPr>
            <w:r>
              <w:rPr>
                <w:rFonts w:ascii="Arial" w:cs="Arial" w:eastAsia="Arial" w:hAnsi="Arial"/>
                <w:sz w:val="14"/>
                <w:szCs w:val="14"/>
                <w:color w:val="auto"/>
              </w:rPr>
              <w:t>191</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-795020</wp:posOffset>
            </wp:positionV>
            <wp:extent cx="271335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40" w:right="1419"/>
        <w:spacing w:after="0" w:line="263"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$4.0 million.</w:t>
      </w:r>
    </w:p>
    <w:p>
      <w:pPr>
        <w:spacing w:after="0" w:line="9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 underwriters for certain of their expenses in an amount of up to $40,000.</w:t>
      </w:r>
    </w:p>
    <w:p>
      <w:pPr>
        <w:spacing w:after="0" w:line="110"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Our directors and executive officers, and substantially all of our stockholders (such persons, “lock-up parties”)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lock-up party or the immediate family of the lock-up party, or if the lock-up party is a trust, to a trustor or beneficiary of the trust or to the estate of a beneficiary of such trust,</w:t>
      </w:r>
    </w:p>
    <w:p>
      <w:pPr>
        <w:spacing w:after="0" w:line="2" w:lineRule="exact"/>
        <w:rPr>
          <w:sz w:val="20"/>
          <w:szCs w:val="20"/>
          <w:color w:val="auto"/>
        </w:rPr>
      </w:pPr>
    </w:p>
    <w:p>
      <w:pPr>
        <w:ind w:left="1240" w:right="1259" w:firstLine="9"/>
        <w:spacing w:after="0" w:line="260" w:lineRule="auto"/>
        <w:tabs>
          <w:tab w:leader="none" w:pos="149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firstLine="9"/>
        <w:spacing w:after="0" w:line="256" w:lineRule="auto"/>
        <w:tabs>
          <w:tab w:leader="none" w:pos="142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162" w:lineRule="exact"/>
        <w:rPr>
          <w:rFonts w:ascii="Arial" w:cs="Arial" w:eastAsia="Arial" w:hAnsi="Arial"/>
          <w:sz w:val="14"/>
          <w:szCs w:val="14"/>
          <w:color w:val="auto"/>
        </w:rPr>
      </w:pPr>
    </w:p>
    <w:p>
      <w:pPr>
        <w:ind w:left="1240" w:right="1279" w:firstLine="9"/>
        <w:spacing w:after="0" w:line="255" w:lineRule="auto"/>
        <w:tabs>
          <w:tab w:leader="none" w:pos="149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258" w:lineRule="exact"/>
        <w:rPr>
          <w:sz w:val="20"/>
          <w:szCs w:val="20"/>
          <w:color w:val="auto"/>
        </w:rPr>
      </w:pPr>
    </w:p>
    <w:p>
      <w:pPr>
        <w:ind w:left="1240" w:right="1499" w:firstLine="9"/>
        <w:spacing w:after="0" w:line="259" w:lineRule="auto"/>
        <w:tabs>
          <w:tab w:leader="none" w:pos="146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92" w:lineRule="exact"/>
        <w:rPr>
          <w:sz w:val="20"/>
          <w:szCs w:val="20"/>
          <w:color w:val="auto"/>
        </w:rPr>
      </w:pPr>
    </w:p>
    <w:p>
      <w:pPr>
        <w:jc w:val="both"/>
        <w:ind w:left="1240" w:right="1319"/>
        <w:spacing w:after="0" w:line="270"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9"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We have applied to have our shares of common stock approved for listing on Nasdaq under the symbol “IPSC”.</w:t>
      </w:r>
    </w:p>
    <w:p>
      <w:pPr>
        <w:spacing w:after="0" w:line="87"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271"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27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07"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Prior to this offering, there has been no public market for our shares of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3" w:lineRule="exact"/>
        <w:rPr>
          <w:sz w:val="20"/>
          <w:szCs w:val="20"/>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0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9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9"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4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77" w:lineRule="exact"/>
        <w:rPr>
          <w:sz w:val="20"/>
          <w:szCs w:val="20"/>
          <w:color w:val="auto"/>
        </w:rPr>
      </w:pPr>
    </w:p>
    <w:p>
      <w:pPr>
        <w:ind w:left="1420" w:hanging="171"/>
        <w:spacing w:after="0"/>
        <w:tabs>
          <w:tab w:leader="none" w:pos="1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38" w:lineRule="exact"/>
        <w:rPr>
          <w:rFonts w:ascii="Arial" w:cs="Arial" w:eastAsia="Arial" w:hAnsi="Arial"/>
          <w:sz w:val="14"/>
          <w:szCs w:val="14"/>
          <w:color w:val="auto"/>
        </w:rPr>
      </w:pPr>
    </w:p>
    <w:p>
      <w:pPr>
        <w:ind w:left="1240" w:right="1379" w:firstLine="9"/>
        <w:spacing w:after="0" w:line="291" w:lineRule="auto"/>
        <w:tabs>
          <w:tab w:leader="none" w:pos="141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Prospectus Regulation), subject to obtaining the prior consent of the underwriters for any such offer; or</w:t>
      </w:r>
    </w:p>
    <w:p>
      <w:pPr>
        <w:spacing w:after="0" w:line="273" w:lineRule="exact"/>
        <w:rPr>
          <w:rFonts w:ascii="Arial" w:cs="Arial" w:eastAsia="Arial" w:hAnsi="Arial"/>
          <w:sz w:val="14"/>
          <w:szCs w:val="14"/>
          <w:color w:val="auto"/>
        </w:rPr>
      </w:pPr>
    </w:p>
    <w:p>
      <w:pPr>
        <w:ind w:left="1420" w:hanging="171"/>
        <w:spacing w:after="0"/>
        <w:tabs>
          <w:tab w:leader="none" w:pos="1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28"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05"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28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9"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18" w:lineRule="exact"/>
        <w:rPr>
          <w:sz w:val="20"/>
          <w:szCs w:val="20"/>
          <w:color w:val="auto"/>
        </w:rPr>
      </w:pPr>
    </w:p>
    <w:p>
      <w:pPr>
        <w:ind w:left="1420" w:hanging="171"/>
        <w:spacing w:after="0"/>
        <w:tabs>
          <w:tab w:leader="none" w:pos="14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17" w:lineRule="exact"/>
        <w:rPr>
          <w:rFonts w:ascii="Arial" w:cs="Arial" w:eastAsia="Arial" w:hAnsi="Arial"/>
          <w:sz w:val="14"/>
          <w:szCs w:val="14"/>
          <w:color w:val="auto"/>
        </w:rPr>
      </w:pPr>
    </w:p>
    <w:p>
      <w:pPr>
        <w:ind w:left="1240" w:right="1379" w:firstLine="9"/>
        <w:spacing w:after="0" w:line="270" w:lineRule="auto"/>
        <w:tabs>
          <w:tab w:leader="none" w:pos="141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280" w:lineRule="exact"/>
        <w:rPr>
          <w:rFonts w:ascii="Arial" w:cs="Arial" w:eastAsia="Arial" w:hAnsi="Arial"/>
          <w:sz w:val="14"/>
          <w:szCs w:val="14"/>
          <w:color w:val="auto"/>
        </w:rPr>
      </w:pPr>
    </w:p>
    <w:p>
      <w:pPr>
        <w:ind w:left="1420" w:hanging="171"/>
        <w:spacing w:after="0"/>
        <w:tabs>
          <w:tab w:leader="none" w:pos="14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at any time in other circumstances falling within section 86 of the FSMA,</w:t>
      </w:r>
    </w:p>
    <w:p>
      <w:pPr>
        <w:spacing w:after="0" w:line="128"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92"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27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82"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10"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1" w:lineRule="exact"/>
        <w:rPr>
          <w:sz w:val="20"/>
          <w:szCs w:val="20"/>
          <w:color w:val="auto"/>
        </w:rPr>
      </w:pPr>
    </w:p>
    <w:p>
      <w:pPr>
        <w:ind w:left="1240" w:right="1519" w:firstLine="9"/>
        <w:spacing w:after="0" w:line="259" w:lineRule="auto"/>
        <w:tabs>
          <w:tab w:leader="none" w:pos="146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18"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10"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91"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19"/>
        <w:spacing w:after="0" w:line="276" w:lineRule="auto"/>
        <w:rPr>
          <w:sz w:val="20"/>
          <w:szCs w:val="20"/>
          <w:color w:val="auto"/>
        </w:rPr>
      </w:pPr>
      <w:r>
        <w:rPr>
          <w:rFonts w:ascii="Arial" w:cs="Arial" w:eastAsia="Arial" w:hAnsi="Arial"/>
          <w:sz w:val="14"/>
          <w:szCs w:val="14"/>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08" w:lineRule="exact"/>
        <w:rPr>
          <w:sz w:val="20"/>
          <w:szCs w:val="20"/>
          <w:color w:val="auto"/>
        </w:rPr>
      </w:pPr>
    </w:p>
    <w:p>
      <w:pPr>
        <w:ind w:left="1240" w:right="1439" w:firstLine="9"/>
        <w:spacing w:after="0" w:line="278" w:lineRule="auto"/>
        <w:tabs>
          <w:tab w:leader="none" w:pos="146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4" w:lineRule="exact"/>
        <w:rPr>
          <w:rFonts w:ascii="Arial" w:cs="Arial" w:eastAsia="Arial" w:hAnsi="Arial"/>
          <w:sz w:val="14"/>
          <w:szCs w:val="14"/>
          <w:color w:val="auto"/>
        </w:rPr>
      </w:pPr>
    </w:p>
    <w:p>
      <w:pPr>
        <w:ind w:left="1240" w:right="1459" w:firstLine="9"/>
        <w:spacing w:after="0" w:line="278" w:lineRule="auto"/>
        <w:tabs>
          <w:tab w:leader="none" w:pos="146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3" w:lineRule="exact"/>
        <w:rPr>
          <w:rFonts w:ascii="Arial" w:cs="Arial" w:eastAsia="Arial" w:hAnsi="Arial"/>
          <w:sz w:val="14"/>
          <w:szCs w:val="14"/>
          <w:color w:val="auto"/>
        </w:rPr>
      </w:pPr>
    </w:p>
    <w:p>
      <w:pPr>
        <w:ind w:left="1240" w:right="1259" w:firstLine="9"/>
        <w:spacing w:after="0" w:line="286" w:lineRule="auto"/>
        <w:tabs>
          <w:tab w:leader="none" w:pos="1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98"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Where the shares of common stock are subscribed or purchased under Section 275 of the SFA by a relevant person which is:</w:t>
      </w:r>
    </w:p>
    <w:p>
      <w:pPr>
        <w:spacing w:after="0" w:line="98" w:lineRule="exact"/>
        <w:rPr>
          <w:sz w:val="20"/>
          <w:szCs w:val="20"/>
          <w:color w:val="auto"/>
        </w:rPr>
      </w:pPr>
    </w:p>
    <w:p>
      <w:pPr>
        <w:jc w:val="both"/>
        <w:ind w:left="1240" w:right="1439" w:firstLine="9"/>
        <w:spacing w:after="0" w:line="278" w:lineRule="auto"/>
        <w:tabs>
          <w:tab w:leader="none" w:pos="146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4"/>
          <w:szCs w:val="14"/>
          <w:color w:val="auto"/>
        </w:rPr>
      </w:pPr>
    </w:p>
    <w:p>
      <w:pPr>
        <w:ind w:left="1240" w:right="1299" w:firstLine="9"/>
        <w:spacing w:after="0" w:line="274" w:lineRule="auto"/>
        <w:tabs>
          <w:tab w:leader="none" w:pos="146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7" w:lineRule="exact"/>
        <w:rPr>
          <w:rFonts w:ascii="Arial" w:cs="Arial" w:eastAsia="Arial" w:hAnsi="Arial"/>
          <w:sz w:val="14"/>
          <w:szCs w:val="14"/>
          <w:color w:val="auto"/>
        </w:rPr>
      </w:pPr>
    </w:p>
    <w:p>
      <w:pPr>
        <w:ind w:left="1500" w:right="1519" w:firstLine="6"/>
        <w:spacing w:after="0" w:line="286" w:lineRule="auto"/>
        <w:tabs>
          <w:tab w:leader="none" w:pos="1681" w:val="left"/>
        </w:tabs>
        <w:numPr>
          <w:ilvl w:val="1"/>
          <w:numId w:val="117"/>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98" w:lineRule="exact"/>
        <w:rPr>
          <w:rFonts w:ascii="Arial" w:cs="Arial" w:eastAsia="Arial" w:hAnsi="Arial"/>
          <w:sz w:val="14"/>
          <w:szCs w:val="14"/>
          <w:color w:val="auto"/>
        </w:rPr>
      </w:pPr>
    </w:p>
    <w:p>
      <w:pPr>
        <w:ind w:left="1720" w:hanging="214"/>
        <w:spacing w:after="0"/>
        <w:tabs>
          <w:tab w:leader="none" w:pos="172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28" w:lineRule="exact"/>
        <w:rPr>
          <w:rFonts w:ascii="Arial" w:cs="Arial" w:eastAsia="Arial" w:hAnsi="Arial"/>
          <w:sz w:val="14"/>
          <w:szCs w:val="14"/>
          <w:color w:val="auto"/>
        </w:rPr>
      </w:pPr>
    </w:p>
    <w:p>
      <w:pPr>
        <w:ind w:left="1760" w:hanging="254"/>
        <w:spacing w:after="0"/>
        <w:tabs>
          <w:tab w:leader="none" w:pos="176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38" w:lineRule="exact"/>
        <w:rPr>
          <w:rFonts w:ascii="Arial" w:cs="Arial" w:eastAsia="Arial" w:hAnsi="Arial"/>
          <w:sz w:val="14"/>
          <w:szCs w:val="14"/>
          <w:color w:val="auto"/>
        </w:rPr>
      </w:pPr>
    </w:p>
    <w:p>
      <w:pPr>
        <w:ind w:left="1760" w:hanging="254"/>
        <w:spacing w:after="0"/>
        <w:tabs>
          <w:tab w:leader="none" w:pos="176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38" w:lineRule="exact"/>
        <w:rPr>
          <w:rFonts w:ascii="Arial" w:cs="Arial" w:eastAsia="Arial" w:hAnsi="Arial"/>
          <w:sz w:val="14"/>
          <w:szCs w:val="14"/>
          <w:color w:val="auto"/>
        </w:rPr>
      </w:pPr>
    </w:p>
    <w:p>
      <w:pPr>
        <w:ind w:left="1500" w:right="1719" w:firstLine="6"/>
        <w:spacing w:after="0" w:line="286" w:lineRule="auto"/>
        <w:tabs>
          <w:tab w:leader="none" w:pos="1720" w:val="left"/>
        </w:tabs>
        <w:numPr>
          <w:ilvl w:val="1"/>
          <w:numId w:val="117"/>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8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Israel</w:t>
      </w:r>
    </w:p>
    <w:p>
      <w:pPr>
        <w:spacing w:after="0" w:line="140" w:lineRule="exact"/>
        <w:rPr>
          <w:sz w:val="20"/>
          <w:szCs w:val="20"/>
          <w:color w:val="auto"/>
        </w:rPr>
      </w:pPr>
    </w:p>
    <w:p>
      <w:pPr>
        <w:ind w:left="1240" w:right="1439"/>
        <w:spacing w:after="0" w:line="271" w:lineRule="auto"/>
        <w:rPr>
          <w:sz w:val="20"/>
          <w:szCs w:val="20"/>
          <w:color w:val="auto"/>
        </w:rPr>
      </w:pPr>
      <w:r>
        <w:rPr>
          <w:rFonts w:ascii="Arial" w:cs="Arial" w:eastAsia="Arial" w:hAnsi="Arial"/>
          <w:sz w:val="14"/>
          <w:szCs w:val="14"/>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1" w:lineRule="exact"/>
        <w:rPr>
          <w:sz w:val="20"/>
          <w:szCs w:val="20"/>
          <w:color w:val="auto"/>
        </w:rPr>
      </w:pPr>
    </w:p>
    <w:p>
      <w:pPr>
        <w:ind w:left="1240" w:right="1279" w:firstLine="9"/>
        <w:spacing w:after="0" w:line="273" w:lineRule="auto"/>
        <w:tabs>
          <w:tab w:leader="none" w:pos="142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9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This prospectus:</w:t>
      </w:r>
    </w:p>
    <w:p>
      <w:pPr>
        <w:spacing w:after="0" w:line="117" w:lineRule="exact"/>
        <w:rPr>
          <w:sz w:val="20"/>
          <w:szCs w:val="20"/>
          <w:color w:val="auto"/>
        </w:rPr>
      </w:pPr>
    </w:p>
    <w:p>
      <w:pPr>
        <w:ind w:left="1240" w:right="1919" w:firstLine="9"/>
        <w:spacing w:after="0" w:line="270" w:lineRule="auto"/>
        <w:tabs>
          <w:tab w:leader="none" w:pos="142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or the Corporations Act;</w:t>
      </w:r>
    </w:p>
    <w:p>
      <w:pPr>
        <w:spacing w:after="0" w:line="98" w:lineRule="exact"/>
        <w:rPr>
          <w:rFonts w:ascii="Arial" w:cs="Arial" w:eastAsia="Arial" w:hAnsi="Arial"/>
          <w:sz w:val="14"/>
          <w:szCs w:val="14"/>
          <w:color w:val="auto"/>
        </w:rPr>
      </w:pPr>
    </w:p>
    <w:p>
      <w:pPr>
        <w:ind w:left="1240" w:right="1339" w:firstLine="9"/>
        <w:spacing w:after="0" w:line="263" w:lineRule="auto"/>
        <w:tabs>
          <w:tab w:leader="none" w:pos="142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73" w:lineRule="exact"/>
        <w:rPr>
          <w:rFonts w:ascii="Arial" w:cs="Arial" w:eastAsia="Arial" w:hAnsi="Arial"/>
          <w:sz w:val="14"/>
          <w:szCs w:val="14"/>
          <w:color w:val="auto"/>
        </w:rPr>
      </w:pPr>
    </w:p>
    <w:p>
      <w:pPr>
        <w:jc w:val="both"/>
        <w:ind w:left="1240" w:right="1259" w:firstLine="9"/>
        <w:spacing w:after="0" w:line="263" w:lineRule="auto"/>
        <w:tabs>
          <w:tab w:leader="none" w:pos="14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9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10"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18"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1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7"/>
          <w:szCs w:val="17"/>
          <w:b w:val="1"/>
          <w:bCs w:val="1"/>
          <w:color w:val="auto"/>
        </w:rPr>
        <w:t>Notice to prospective investors in the Dubai International Financial Centre (DIFC)</w:t>
      </w:r>
    </w:p>
    <w:p>
      <w:pPr>
        <w:spacing w:after="0" w:line="8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07"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29"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Legal matters</w:t>
      </w:r>
    </w:p>
    <w:p>
      <w:pPr>
        <w:spacing w:after="0" w:line="130" w:lineRule="exact"/>
        <w:rPr>
          <w:sz w:val="20"/>
          <w:szCs w:val="20"/>
          <w:color w:val="auto"/>
        </w:rPr>
      </w:pPr>
    </w:p>
    <w:p>
      <w:pPr>
        <w:jc w:val="both"/>
        <w:ind w:left="1240" w:right="1419"/>
        <w:spacing w:after="0" w:line="278" w:lineRule="auto"/>
        <w:rPr>
          <w:sz w:val="20"/>
          <w:szCs w:val="20"/>
          <w:color w:val="auto"/>
        </w:rPr>
      </w:pPr>
      <w:r>
        <w:rPr>
          <w:rFonts w:ascii="Arial" w:cs="Arial" w:eastAsia="Arial" w:hAnsi="Arial"/>
          <w:sz w:val="14"/>
          <w:szCs w:val="14"/>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Experts</w:t>
      </w:r>
    </w:p>
    <w:p>
      <w:pPr>
        <w:spacing w:after="0" w:line="13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consolidated financial statements of Century Therapeutics, Inc.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Where you can find additional information</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filed with the SEC this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8"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26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26"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679"/>
        <w:spacing w:after="0" w:line="231" w:lineRule="auto"/>
        <w:rPr>
          <w:sz w:val="20"/>
          <w:szCs w:val="20"/>
          <w:color w:val="auto"/>
        </w:rPr>
      </w:pPr>
      <w:r>
        <w:rPr>
          <w:rFonts w:ascii="Arial" w:cs="Arial" w:eastAsia="Arial" w:hAnsi="Arial"/>
          <w:sz w:val="23"/>
          <w:szCs w:val="23"/>
          <w:b w:val="1"/>
          <w:bCs w:val="1"/>
          <w:color w:val="auto"/>
        </w:rPr>
        <w:t>As of and for the years ended December 31, 2020 and 2019</w:t>
      </w:r>
    </w:p>
    <w:p>
      <w:pPr>
        <w:spacing w:after="0" w:line="8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Borders>
              <w:bottom w:val="single" w:sz="8" w:color="0000EE"/>
            </w:tcBorders>
          </w:tcPr>
          <w:p>
            <w:pPr>
              <w:spacing w:after="0"/>
              <w:rPr>
                <w:sz w:val="14"/>
                <w:szCs w:val="14"/>
                <w:color w:val="auto"/>
              </w:rPr>
            </w:pPr>
          </w:p>
        </w:tc>
        <w:tc>
          <w:tcPr>
            <w:tcW w:w="6720" w:type="dxa"/>
            <w:vAlign w:val="bottom"/>
            <w:tcBorders>
              <w:bottom w:val="single" w:sz="8" w:color="0000EE"/>
            </w:tcBorders>
            <w:gridSpan w:val="7"/>
            <w:shd w:val="clear" w:color="auto" w:fill="CCEEFF"/>
          </w:tcPr>
          <w:p>
            <w:pPr>
              <w:spacing w:after="0"/>
              <w:rPr>
                <w:rFonts w:ascii="Arial" w:cs="Arial" w:eastAsia="Arial" w:hAnsi="Arial"/>
                <w:sz w:val="14"/>
                <w:szCs w:val="14"/>
                <w:color w:val="0000EE"/>
              </w:rPr>
            </w:pPr>
            <w:hyperlink w:anchor="page219">
              <w:r>
                <w:rPr>
                  <w:rFonts w:ascii="Arial" w:cs="Arial" w:eastAsia="Arial" w:hAnsi="Arial"/>
                  <w:sz w:val="14"/>
                  <w:szCs w:val="14"/>
                  <w:color w:val="0000EE"/>
                </w:rPr>
                <w:t>Report of Independent Registered Public Accounting Firm on consolidated financial statements as of</w:t>
              </w:r>
            </w:hyperlink>
          </w:p>
        </w:tc>
        <w:tc>
          <w:tcPr>
            <w:tcW w:w="280" w:type="dxa"/>
            <w:vAlign w:val="bottom"/>
            <w:tcBorders>
              <w:bottom w:val="single" w:sz="8" w:color="CCEEFF"/>
              <w:right w:val="single" w:sz="8" w:color="CCEEFF"/>
            </w:tcBorders>
            <w:gridSpan w:val="6"/>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December 31, 2020 and 2019 (successor), for the year ended December 31, 2020 (successor), for the</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period from June 21, 2019 through December 31, 2019 (successor) and for the period from January 1,</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2019 through June 20, 2019 (predecessor)</w:t>
              </w:r>
            </w:hyperlink>
          </w:p>
        </w:tc>
        <w:tc>
          <w:tcPr>
            <w:tcW w:w="4020" w:type="dxa"/>
            <w:vAlign w:val="bottom"/>
            <w:tcBorders>
              <w:right w:val="single" w:sz="8" w:color="CCEEFF"/>
            </w:tcBorders>
            <w:gridSpan w:val="9"/>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19">
              <w:r>
                <w:rPr>
                  <w:rFonts w:ascii="Arial" w:cs="Arial" w:eastAsia="Arial" w:hAnsi="Arial"/>
                  <w:sz w:val="14"/>
                  <w:szCs w:val="14"/>
                  <w:color w:val="0000EE"/>
                  <w:w w:val="94"/>
                </w:rPr>
                <w:t>F-2</w:t>
              </w:r>
            </w:hyperlink>
          </w:p>
        </w:tc>
      </w:tr>
      <w:tr>
        <w:trPr>
          <w:trHeight w:val="32"/>
        </w:trPr>
        <w:tc>
          <w:tcPr>
            <w:tcW w:w="2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0000EE"/>
          </w:tcPr>
          <w:p>
            <w:pPr>
              <w:spacing w:after="0"/>
              <w:rPr>
                <w:sz w:val="2"/>
                <w:szCs w:val="2"/>
                <w:color w:val="auto"/>
              </w:rPr>
            </w:pPr>
          </w:p>
        </w:tc>
      </w:tr>
      <w:tr>
        <w:trPr>
          <w:trHeight w:val="203"/>
        </w:trPr>
        <w:tc>
          <w:tcPr>
            <w:tcW w:w="7020" w:type="dxa"/>
            <w:vAlign w:val="bottom"/>
            <w:gridSpan w:val="14"/>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4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gridSpan w:val="12"/>
            <w:shd w:val="clear" w:color="auto" w:fill="CCEEFF"/>
          </w:tcPr>
          <w:p>
            <w:pPr>
              <w:spacing w:after="0"/>
              <w:rPr>
                <w:rFonts w:ascii="Arial" w:cs="Arial" w:eastAsia="Arial" w:hAnsi="Arial"/>
                <w:sz w:val="14"/>
                <w:szCs w:val="14"/>
                <w:color w:val="0000EE"/>
                <w:shd w:val="clear" w:color="auto" w:fill="CCEEFF"/>
              </w:rPr>
            </w:pPr>
            <w:hyperlink w:anchor="page220">
              <w:r>
                <w:rPr>
                  <w:rFonts w:ascii="Arial" w:cs="Arial" w:eastAsia="Arial" w:hAnsi="Arial"/>
                  <w:sz w:val="14"/>
                  <w:szCs w:val="14"/>
                  <w:color w:val="0000EE"/>
                  <w:shd w:val="clear" w:color="auto" w:fill="CCEEFF"/>
                </w:rPr>
                <w:t>Consolidated balance sheets as of December 31, 2020 (successor) and December 31, 2019(successor)</w:t>
              </w:r>
            </w:hyperlink>
          </w:p>
        </w:tc>
        <w:tc>
          <w:tcPr>
            <w:tcW w:w="10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shd w:val="clear" w:color="auto" w:fill="CCEEFF"/>
              </w:rPr>
            </w:pPr>
            <w:hyperlink w:anchor="page220">
              <w:r>
                <w:rPr>
                  <w:rFonts w:ascii="Arial" w:cs="Arial" w:eastAsia="Arial" w:hAnsi="Arial"/>
                  <w:sz w:val="14"/>
                  <w:szCs w:val="14"/>
                  <w:color w:val="0000EE"/>
                  <w:w w:val="94"/>
                  <w:shd w:val="clear" w:color="auto" w:fill="CCEEFF"/>
                </w:rPr>
                <w:t>F-3</w:t>
              </w:r>
            </w:hyperlink>
          </w:p>
        </w:tc>
      </w:tr>
      <w:tr>
        <w:trPr>
          <w:trHeight w:val="171"/>
        </w:trPr>
        <w:tc>
          <w:tcPr>
            <w:tcW w:w="6880" w:type="dxa"/>
            <w:vAlign w:val="bottom"/>
            <w:tcBorders>
              <w:top w:val="single" w:sz="8" w:color="0000EE"/>
              <w:bottom w:val="single" w:sz="8" w:color="0000EE"/>
            </w:tcBorders>
            <w:gridSpan w:val="12"/>
          </w:tcPr>
          <w:p>
            <w:pPr>
              <w:spacing w:after="0"/>
              <w:rPr>
                <w:rFonts w:ascii="Arial" w:cs="Arial" w:eastAsia="Arial" w:hAnsi="Arial"/>
                <w:sz w:val="14"/>
                <w:szCs w:val="14"/>
                <w:color w:val="0000EE"/>
              </w:rPr>
            </w:pPr>
            <w:hyperlink w:anchor="page221">
              <w:r>
                <w:rPr>
                  <w:rFonts w:ascii="Arial" w:cs="Arial" w:eastAsia="Arial" w:hAnsi="Arial"/>
                  <w:sz w:val="14"/>
                  <w:szCs w:val="14"/>
                  <w:color w:val="0000EE"/>
                </w:rPr>
                <w:t>Consolidated statements of operations and comprehensive loss for the year ended December 31, 2020</w:t>
              </w:r>
            </w:hyperlink>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60" w:type="dxa"/>
            <w:vAlign w:val="bottom"/>
            <w:tcBorders>
              <w:bottom w:val="single" w:sz="8" w:color="0000EE"/>
            </w:tcBorders>
            <w:gridSpan w:val="8"/>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(successor), and the periods June 21, 2019 through December 31, 2019 (successor) and January 1,</w:t>
              </w:r>
            </w:hyperlink>
          </w:p>
        </w:tc>
        <w:tc>
          <w:tcPr>
            <w:tcW w:w="20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2019 through June 20, 2019 (predecessor)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21">
              <w:r>
                <w:rPr>
                  <w:rFonts w:ascii="Arial" w:cs="Arial" w:eastAsia="Arial" w:hAnsi="Arial"/>
                  <w:sz w:val="14"/>
                  <w:szCs w:val="14"/>
                  <w:color w:val="0000EE"/>
                  <w:w w:val="94"/>
                </w:rPr>
                <w:t>F-4</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right w:val="single" w:sz="8" w:color="CCEEFF"/>
            </w:tcBorders>
            <w:gridSpan w:val="13"/>
            <w:shd w:val="clear" w:color="auto" w:fill="CCEEFF"/>
          </w:tcPr>
          <w:p>
            <w:pPr>
              <w:spacing w:after="0"/>
              <w:rPr>
                <w:rFonts w:ascii="Arial" w:cs="Arial" w:eastAsia="Arial" w:hAnsi="Arial"/>
                <w:sz w:val="14"/>
                <w:szCs w:val="14"/>
                <w:color w:val="0000EE"/>
              </w:rPr>
            </w:pPr>
            <w:hyperlink w:anchor="page222">
              <w:r>
                <w:rPr>
                  <w:rFonts w:ascii="Arial" w:cs="Arial" w:eastAsia="Arial" w:hAnsi="Arial"/>
                  <w:sz w:val="14"/>
                  <w:szCs w:val="14"/>
                  <w:color w:val="0000EE"/>
                </w:rPr>
                <w:t>Consolidated statements of changes in convertible preferred stock and stockholders’ deficit for the year</w:t>
              </w:r>
            </w:hyperlink>
          </w:p>
        </w:tc>
        <w:tc>
          <w:tcPr>
            <w:tcW w:w="240" w:type="dxa"/>
            <w:vAlign w:val="bottom"/>
            <w:tcBorders>
              <w:right w:val="single" w:sz="8" w:color="CCEEFF"/>
            </w:tcBorders>
            <w:shd w:val="clear" w:color="auto" w:fill="CCEEFF"/>
          </w:tcPr>
          <w:p>
            <w:pPr>
              <w:spacing w:after="0"/>
              <w:rPr>
                <w:sz w:val="14"/>
                <w:szCs w:val="14"/>
                <w:color w:val="auto"/>
              </w:rPr>
            </w:pPr>
          </w:p>
        </w:tc>
      </w:tr>
      <w:tr>
        <w:trPr>
          <w:trHeight w:val="151"/>
        </w:trPr>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6320" w:type="dxa"/>
            <w:vAlign w:val="bottom"/>
            <w:tcBorders>
              <w:top w:val="single" w:sz="8" w:color="0000EE"/>
              <w:bottom w:val="single" w:sz="8" w:color="0000EE"/>
            </w:tcBorders>
            <w:gridSpan w:val="5"/>
            <w:shd w:val="clear" w:color="auto" w:fill="CCEEFF"/>
          </w:tcPr>
          <w:p>
            <w:pPr>
              <w:spacing w:after="0" w:line="151" w:lineRule="exact"/>
              <w:rPr>
                <w:rFonts w:ascii="Arial" w:cs="Arial" w:eastAsia="Arial" w:hAnsi="Arial"/>
                <w:sz w:val="14"/>
                <w:szCs w:val="14"/>
                <w:color w:val="0000EE"/>
              </w:rPr>
            </w:pPr>
            <w:hyperlink w:anchor="page222">
              <w:r>
                <w:rPr>
                  <w:rFonts w:ascii="Arial" w:cs="Arial" w:eastAsia="Arial" w:hAnsi="Arial"/>
                  <w:sz w:val="14"/>
                  <w:szCs w:val="14"/>
                  <w:color w:val="0000EE"/>
                </w:rPr>
                <w:t>ended December 31, 2020 (successor), the periods June 21, 2019 through December 31, 2019</w:t>
              </w:r>
            </w:hyperlink>
          </w:p>
        </w:tc>
        <w:tc>
          <w:tcPr>
            <w:tcW w:w="40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00" w:type="dxa"/>
            <w:vAlign w:val="bottom"/>
            <w:gridSpan w:val="4"/>
            <w:shd w:val="clear" w:color="auto" w:fill="CCEEFF"/>
          </w:tcPr>
          <w:p>
            <w:pPr>
              <w:spacing w:after="0" w:line="151" w:lineRule="exact"/>
              <w:rPr>
                <w:rFonts w:ascii="Arial" w:cs="Arial" w:eastAsia="Arial" w:hAnsi="Arial"/>
                <w:sz w:val="14"/>
                <w:szCs w:val="14"/>
                <w:color w:val="0000EE"/>
              </w:rPr>
            </w:pPr>
            <w:hyperlink w:anchor="page222">
              <w:r>
                <w:rPr>
                  <w:rFonts w:ascii="Arial" w:cs="Arial" w:eastAsia="Arial" w:hAnsi="Arial"/>
                  <w:sz w:val="14"/>
                  <w:szCs w:val="14"/>
                  <w:color w:val="0000EE"/>
                </w:rPr>
                <w:t>(successor) and January 1, 2019 through June 20, 2019 (predecessor)</w:t>
              </w:r>
            </w:hyperlink>
          </w:p>
        </w:tc>
        <w:tc>
          <w:tcPr>
            <w:tcW w:w="2160" w:type="dxa"/>
            <w:vAlign w:val="bottom"/>
            <w:tcBorders>
              <w:right w:val="single" w:sz="8" w:color="CCEEFF"/>
            </w:tcBorders>
            <w:gridSpan w:val="8"/>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22">
              <w:r>
                <w:rPr>
                  <w:rFonts w:ascii="Arial" w:cs="Arial" w:eastAsia="Arial" w:hAnsi="Arial"/>
                  <w:sz w:val="14"/>
                  <w:szCs w:val="14"/>
                  <w:color w:val="0000EE"/>
                  <w:w w:val="94"/>
                </w:rPr>
                <w:t>F-5</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r>
      <w:tr>
        <w:trPr>
          <w:trHeight w:val="171"/>
        </w:trPr>
        <w:tc>
          <w:tcPr>
            <w:tcW w:w="6860" w:type="dxa"/>
            <w:vAlign w:val="bottom"/>
            <w:tcBorders>
              <w:bottom w:val="single" w:sz="8" w:color="0000EE"/>
            </w:tcBorders>
            <w:gridSpan w:val="11"/>
          </w:tcPr>
          <w:p>
            <w:pPr>
              <w:spacing w:after="0"/>
              <w:rPr>
                <w:rFonts w:ascii="Arial" w:cs="Arial" w:eastAsia="Arial" w:hAnsi="Arial"/>
                <w:sz w:val="14"/>
                <w:szCs w:val="14"/>
                <w:color w:val="0000EE"/>
              </w:rPr>
            </w:pPr>
            <w:hyperlink w:anchor="page223">
              <w:r>
                <w:rPr>
                  <w:rFonts w:ascii="Arial" w:cs="Arial" w:eastAsia="Arial" w:hAnsi="Arial"/>
                  <w:sz w:val="14"/>
                  <w:szCs w:val="14"/>
                  <w:color w:val="0000EE"/>
                </w:rPr>
                <w:t>Consolidated statements of cash flows for the year ended December 31, 2020 (successor), the periods</w:t>
              </w:r>
            </w:hyperlink>
          </w:p>
        </w:tc>
        <w:tc>
          <w:tcPr>
            <w:tcW w:w="1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40" w:type="dxa"/>
            <w:vAlign w:val="bottom"/>
            <w:tcBorders>
              <w:bottom w:val="single" w:sz="8" w:color="0000EE"/>
            </w:tcBorders>
            <w:gridSpan w:val="7"/>
          </w:tcPr>
          <w:p>
            <w:pPr>
              <w:spacing w:after="0" w:line="151" w:lineRule="exact"/>
              <w:rPr>
                <w:rFonts w:ascii="Arial" w:cs="Arial" w:eastAsia="Arial" w:hAnsi="Arial"/>
                <w:sz w:val="14"/>
                <w:szCs w:val="14"/>
                <w:color w:val="0000EE"/>
              </w:rPr>
            </w:pPr>
            <w:hyperlink w:anchor="page223">
              <w:r>
                <w:rPr>
                  <w:rFonts w:ascii="Arial" w:cs="Arial" w:eastAsia="Arial" w:hAnsi="Arial"/>
                  <w:sz w:val="14"/>
                  <w:szCs w:val="14"/>
                  <w:color w:val="0000EE"/>
                </w:rPr>
                <w:t>June 21, 2019 through December 31, 2019 (successor) and January 1, 2019 through June 20, 2019</w:t>
              </w:r>
            </w:hyperlink>
          </w:p>
        </w:tc>
        <w:tc>
          <w:tcPr>
            <w:tcW w:w="22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23">
              <w:r>
                <w:rPr>
                  <w:rFonts w:ascii="Arial" w:cs="Arial" w:eastAsia="Arial" w:hAnsi="Arial"/>
                  <w:sz w:val="14"/>
                  <w:szCs w:val="14"/>
                  <w:color w:val="0000EE"/>
                </w:rPr>
                <w:t>(predecessor)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23">
              <w:r>
                <w:rPr>
                  <w:rFonts w:ascii="Arial" w:cs="Arial" w:eastAsia="Arial" w:hAnsi="Arial"/>
                  <w:sz w:val="14"/>
                  <w:szCs w:val="14"/>
                  <w:color w:val="0000EE"/>
                  <w:w w:val="94"/>
                </w:rPr>
                <w:t>F-6</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gridSpan w:val="3"/>
            <w:shd w:val="clear" w:color="auto" w:fill="CCEEFF"/>
          </w:tcPr>
          <w:p>
            <w:pPr>
              <w:spacing w:after="0"/>
              <w:rPr>
                <w:rFonts w:ascii="Arial" w:cs="Arial" w:eastAsia="Arial" w:hAnsi="Arial"/>
                <w:sz w:val="14"/>
                <w:szCs w:val="14"/>
                <w:color w:val="0000EE"/>
              </w:rPr>
            </w:pPr>
            <w:hyperlink w:anchor="page224">
              <w:r>
                <w:rPr>
                  <w:rFonts w:ascii="Arial" w:cs="Arial" w:eastAsia="Arial" w:hAnsi="Arial"/>
                  <w:sz w:val="14"/>
                  <w:szCs w:val="14"/>
                  <w:color w:val="0000EE"/>
                </w:rPr>
                <w:t>Notes to consolidated financial statements</w:t>
              </w:r>
            </w:hyperlink>
          </w:p>
        </w:tc>
        <w:tc>
          <w:tcPr>
            <w:tcW w:w="4180" w:type="dxa"/>
            <w:vAlign w:val="bottom"/>
            <w:tcBorders>
              <w:right w:val="single" w:sz="8" w:color="CCEEFF"/>
            </w:tcBorders>
            <w:gridSpan w:val="10"/>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rPr>
            </w:pPr>
            <w:hyperlink w:anchor="page224">
              <w:r>
                <w:rPr>
                  <w:rFonts w:ascii="Arial" w:cs="Arial" w:eastAsia="Arial" w:hAnsi="Arial"/>
                  <w:sz w:val="14"/>
                  <w:szCs w:val="14"/>
                  <w:color w:val="0000EE"/>
                  <w:w w:val="94"/>
                </w:rPr>
                <w:t>F-7</w:t>
              </w:r>
            </w:hyperlink>
          </w:p>
        </w:tc>
      </w:tr>
      <w:tr>
        <w:trPr>
          <w:trHeight w:val="21"/>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 the Stockholders and the Board of Directors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Century Therapeutics, Inc.</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0"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have audited the accompanying consolidated balance sheets of Century Therapeutics, Inc. and subsidiary (the Company) as of December 31, 2020 and 2019 (Successor), the related consolidated statements of operations and comprehensive loss, changes in convertible preferred stock and stockholders’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Adoption of new accounting standard</w:t>
      </w:r>
    </w:p>
    <w:p>
      <w:pPr>
        <w:spacing w:after="0" w:line="140"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88"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 Ernst &amp; Young LLP</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have served as the Company’s auditor since 2019.</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Philadelphia, Pennsylvania</w:t>
      </w:r>
    </w:p>
    <w:p>
      <w:pPr>
        <w:spacing w:after="0" w:line="21" w:lineRule="exact"/>
        <w:rPr>
          <w:sz w:val="20"/>
          <w:szCs w:val="20"/>
          <w:color w:val="auto"/>
        </w:rPr>
      </w:pPr>
    </w:p>
    <w:p>
      <w:pPr>
        <w:ind w:left="1240" w:right="2259"/>
        <w:spacing w:after="0" w:line="286" w:lineRule="auto"/>
        <w:rPr>
          <w:sz w:val="20"/>
          <w:szCs w:val="20"/>
          <w:color w:val="auto"/>
        </w:rPr>
      </w:pPr>
      <w:r>
        <w:rPr>
          <w:rFonts w:ascii="Arial" w:cs="Arial" w:eastAsia="Arial" w:hAnsi="Arial"/>
          <w:sz w:val="14"/>
          <w:szCs w:val="14"/>
          <w:color w:val="auto"/>
        </w:rPr>
        <w:t>May 5, 2021, except for the reverse stock split described in Note 2, as to which the date is June 14, 2021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78740</wp:posOffset>
            </wp:positionV>
            <wp:extent cx="4460875"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33"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Successor</w:t>
      </w:r>
    </w:p>
    <w:p>
      <w:pPr>
        <w:spacing w:after="0" w:line="22"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December 31, 2020December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-92075</wp:posOffset>
            </wp:positionV>
            <wp:extent cx="155067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5067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-98425</wp:posOffset>
            </wp:positionV>
            <wp:extent cx="446087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assets: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Short-term investments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Escrow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right="1560" w:firstLine="143"/>
        <w:spacing w:after="0" w:line="279"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-127635</wp:posOffset>
            </wp:positionV>
            <wp:extent cx="446087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Property and equipment, net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Restricted cash</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Escrow deposits,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investments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assets</w:t>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-93980</wp:posOffset>
            </wp:positionV>
            <wp:extent cx="4460875" cy="1155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liabilities: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current liabilities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liability, long-term</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wp:posOffset>
            </wp:positionV>
            <wp:extent cx="4460875" cy="1225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Commitments and contingencies (Note 11)</w:t>
      </w:r>
    </w:p>
    <w:p>
      <w:pPr>
        <w:spacing w:after="0" w:line="21" w:lineRule="exact"/>
        <w:rPr>
          <w:sz w:val="20"/>
          <w:szCs w:val="20"/>
          <w:color w:val="auto"/>
        </w:rPr>
      </w:pPr>
    </w:p>
    <w:p>
      <w:pPr>
        <w:jc w:val="both"/>
        <w:ind w:left="1400" w:right="160" w:hanging="142"/>
        <w:spacing w:after="0" w:line="260" w:lineRule="auto"/>
        <w:rPr>
          <w:sz w:val="20"/>
          <w:szCs w:val="20"/>
          <w:color w:val="auto"/>
        </w:rPr>
      </w:pPr>
      <w:r>
        <w:rPr>
          <w:rFonts w:ascii="Arial" w:cs="Arial" w:eastAsia="Arial" w:hAnsi="Arial"/>
          <w:sz w:val="14"/>
          <w:szCs w:val="14"/>
          <w:color w:val="auto"/>
        </w:rPr>
        <w:t>Non-cumulative convertible preferred stock, Series A, $0.0001 par value, 35,000,000 shares authorized, issued and outstanding at December 31, 2020 and 2019</w:t>
      </w:r>
    </w:p>
    <w:p>
      <w:pPr>
        <w:spacing w:after="0" w:line="2" w:lineRule="exact"/>
        <w:rPr>
          <w:sz w:val="20"/>
          <w:szCs w:val="20"/>
          <w:color w:val="auto"/>
        </w:rPr>
      </w:pPr>
    </w:p>
    <w:p>
      <w:pPr>
        <w:jc w:val="both"/>
        <w:ind w:left="1400" w:right="160" w:hanging="142"/>
        <w:spacing w:after="0" w:line="263" w:lineRule="auto"/>
        <w:rPr>
          <w:sz w:val="20"/>
          <w:szCs w:val="20"/>
          <w:color w:val="auto"/>
        </w:rPr>
      </w:pPr>
      <w:r>
        <w:rPr>
          <w:rFonts w:ascii="Arial" w:cs="Arial" w:eastAsia="Arial" w:hAnsi="Arial"/>
          <w:sz w:val="14"/>
          <w:szCs w:val="14"/>
          <w:color w:val="auto"/>
        </w:rPr>
        <w:t>Non-cumulative convertible preferred stock, Series B, $0.0001 par value, 26,143,790 shares authorized,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Stockholders' deficit</w:t>
      </w:r>
    </w:p>
    <w:p>
      <w:pPr>
        <w:spacing w:after="0" w:line="21" w:lineRule="exact"/>
        <w:rPr>
          <w:sz w:val="20"/>
          <w:szCs w:val="20"/>
          <w:color w:val="auto"/>
        </w:rPr>
      </w:pPr>
    </w:p>
    <w:p>
      <w:pPr>
        <w:jc w:val="both"/>
        <w:ind w:left="1400" w:right="80" w:hanging="142"/>
        <w:spacing w:after="0" w:line="263" w:lineRule="auto"/>
        <w:rPr>
          <w:sz w:val="20"/>
          <w:szCs w:val="20"/>
          <w:color w:val="auto"/>
        </w:rPr>
      </w:pPr>
      <w:r>
        <w:rPr>
          <w:rFonts w:ascii="Arial" w:cs="Arial" w:eastAsia="Arial" w:hAnsi="Arial"/>
          <w:sz w:val="14"/>
          <w:szCs w:val="14"/>
          <w:color w:val="auto"/>
        </w:rPr>
        <w:t>Common stock, $0.0001 par value, 125,236,190 shares authorized; 7,481,861 shares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Additional paid-in capital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deficit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265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60875" cy="265430"/>
                    </a:xfrm>
                    <a:prstGeom prst="rect">
                      <a:avLst/>
                    </a:prstGeom>
                    <a:noFill/>
                  </pic:spPr>
                </pic:pic>
              </a:graphicData>
            </a:graphic>
          </wp:anchor>
        </w:drawing>
      </w:r>
    </w:p>
    <w:p>
      <w:pPr>
        <w:spacing w:after="0" w:line="1" w:lineRule="exact"/>
        <w:rPr>
          <w:sz w:val="20"/>
          <w:szCs w:val="20"/>
          <w:color w:val="auto"/>
        </w:rPr>
      </w:pPr>
    </w:p>
    <w:p>
      <w:pPr>
        <w:ind w:left="1400" w:right="180" w:hanging="142"/>
        <w:spacing w:after="0" w:line="270" w:lineRule="auto"/>
        <w:rPr>
          <w:sz w:val="20"/>
          <w:szCs w:val="20"/>
          <w:color w:val="auto"/>
        </w:rPr>
      </w:pPr>
      <w:r>
        <w:rPr>
          <w:rFonts w:ascii="Arial" w:cs="Arial" w:eastAsia="Arial" w:hAnsi="Arial"/>
          <w:sz w:val="14"/>
          <w:szCs w:val="14"/>
          <w:b w:val="1"/>
          <w:bCs w:val="1"/>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29210</wp:posOffset>
            </wp:positionV>
            <wp:extent cx="446087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60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71"/>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   27,211</w:t>
            </w:r>
          </w:p>
        </w:tc>
        <w:tc>
          <w:tcPr>
            <w:tcW w:w="980" w:type="dxa"/>
            <w:vAlign w:val="bottom"/>
          </w:tcPr>
          <w:p>
            <w:pPr>
              <w:jc w:val="right"/>
              <w:spacing w:after="0"/>
              <w:rPr>
                <w:sz w:val="20"/>
                <w:szCs w:val="20"/>
                <w:color w:val="auto"/>
              </w:rPr>
            </w:pPr>
            <w:r>
              <w:rPr>
                <w:rFonts w:ascii="Arial" w:cs="Arial" w:eastAsia="Arial" w:hAnsi="Arial"/>
                <w:sz w:val="14"/>
                <w:szCs w:val="14"/>
                <w:color w:val="auto"/>
              </w:rPr>
              <w:t>$   44,064</w:t>
            </w:r>
          </w:p>
        </w:tc>
      </w:tr>
      <w:tr>
        <w:trPr>
          <w:trHeight w:val="193"/>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48,542</w:t>
            </w:r>
          </w:p>
        </w:tc>
        <w:tc>
          <w:tcPr>
            <w:tcW w:w="980" w:type="dxa"/>
            <w:vAlign w:val="bottom"/>
          </w:tcPr>
          <w:p>
            <w:pPr>
              <w:jc w:val="right"/>
              <w:spacing w:after="0"/>
              <w:rPr>
                <w:sz w:val="20"/>
                <w:szCs w:val="20"/>
                <w:color w:val="auto"/>
              </w:rPr>
            </w:pPr>
            <w:r>
              <w:rPr>
                <w:rFonts w:ascii="Arial" w:cs="Arial" w:eastAsia="Arial" w:hAnsi="Arial"/>
                <w:sz w:val="14"/>
                <w:szCs w:val="14"/>
                <w:color w:val="auto"/>
              </w:rPr>
              <w:t>37,475</w:t>
            </w:r>
          </w:p>
        </w:tc>
      </w:tr>
    </w:tbl>
    <w:p>
      <w:pPr>
        <w:spacing w:after="0" w:line="22" w:lineRule="exact"/>
        <w:rPr>
          <w:sz w:val="20"/>
          <w:szCs w:val="20"/>
          <w:color w:val="auto"/>
        </w:rPr>
      </w:pPr>
    </w:p>
    <w:p>
      <w:pPr>
        <w:ind w:left="2300" w:hanging="1325"/>
        <w:spacing w:after="0"/>
        <w:tabs>
          <w:tab w:leader="none" w:pos="23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t>
      </w:r>
    </w:p>
    <w:p>
      <w:pPr>
        <w:spacing w:after="0" w:line="3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2,2612,583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78,797</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84,122</w:t>
            </w:r>
          </w:p>
        </w:tc>
        <w:tc>
          <w:tcPr>
            <w:tcW w:w="40" w:type="dxa"/>
            <w:vAlign w:val="bottom"/>
          </w:tcPr>
          <w:p>
            <w:pPr>
              <w:spacing w:after="0"/>
              <w:rPr>
                <w:sz w:val="14"/>
                <w:szCs w:val="14"/>
                <w:color w:val="auto"/>
              </w:rPr>
            </w:pPr>
          </w:p>
        </w:tc>
      </w:tr>
      <w:tr>
        <w:trPr>
          <w:trHeight w:val="184"/>
        </w:trPr>
        <w:tc>
          <w:tcPr>
            <w:tcW w:w="600" w:type="dxa"/>
            <w:vAlign w:val="bottom"/>
          </w:tcPr>
          <w:p>
            <w:pPr>
              <w:spacing w:after="0"/>
              <w:rPr>
                <w:sz w:val="15"/>
                <w:szCs w:val="15"/>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15,385</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5"/>
                <w:szCs w:val="15"/>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517</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1,053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4,080</w:t>
            </w:r>
          </w:p>
        </w:tc>
        <w:tc>
          <w:tcPr>
            <w:tcW w:w="40" w:type="dxa"/>
            <w:vAlign w:val="bottom"/>
          </w:tcPr>
          <w:p>
            <w:pPr>
              <w:spacing w:after="0"/>
              <w:rPr>
                <w:sz w:val="16"/>
                <w:szCs w:val="16"/>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6"/>
                <w:szCs w:val="16"/>
                <w:color w:val="auto"/>
              </w:rPr>
            </w:pPr>
          </w:p>
        </w:tc>
      </w:tr>
      <w:tr>
        <w:trPr>
          <w:trHeight w:val="162"/>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106,776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90,896</w:t>
            </w:r>
          </w:p>
        </w:tc>
        <w:tc>
          <w:tcPr>
            <w:tcW w:w="40" w:type="dxa"/>
            <w:vAlign w:val="bottom"/>
          </w:tcPr>
          <w:p>
            <w:pPr>
              <w:spacing w:after="0"/>
              <w:rPr>
                <w:sz w:val="14"/>
                <w:szCs w:val="1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8,082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1,548</w:t>
            </w:r>
          </w:p>
        </w:tc>
        <w:tc>
          <w:tcPr>
            <w:tcW w:w="40" w:type="dxa"/>
            <w:vAlign w:val="bottom"/>
          </w:tcPr>
          <w:p>
            <w:pPr>
              <w:spacing w:after="0"/>
              <w:rPr>
                <w:sz w:val="24"/>
                <w:szCs w:val="24"/>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4,030</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40" w:type="dxa"/>
            <w:vAlign w:val="bottom"/>
          </w:tcPr>
          <w:p>
            <w:pPr>
              <w:spacing w:after="0"/>
              <w:rPr>
                <w:sz w:val="16"/>
                <w:szCs w:val="16"/>
                <w:color w:val="auto"/>
              </w:rPr>
            </w:pPr>
          </w:p>
        </w:tc>
      </w:tr>
      <w:tr>
        <w:trPr>
          <w:trHeight w:val="165"/>
        </w:trPr>
        <w:tc>
          <w:tcPr>
            <w:tcW w:w="60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b w:val="1"/>
                <w:bCs w:val="1"/>
                <w:color w:val="auto"/>
              </w:rPr>
              <w:t>12,112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189"/>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11,679</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9,636</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2"/>
        </w:trPr>
        <w:tc>
          <w:tcPr>
            <w:tcW w:w="6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33,427</w:t>
            </w: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686"/>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34,922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24"/>
                <w:szCs w:val="24"/>
                <w:color w:val="auto"/>
              </w:rPr>
            </w:pPr>
          </w:p>
        </w:tc>
      </w:tr>
      <w:tr>
        <w:trPr>
          <w:trHeight w:val="525"/>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144,839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24"/>
                <w:szCs w:val="24"/>
                <w:color w:val="auto"/>
              </w:rPr>
            </w:pPr>
          </w:p>
        </w:tc>
      </w:tr>
      <w:tr>
        <w:trPr>
          <w:trHeight w:val="718"/>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217,832</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216,910</w:t>
            </w:r>
          </w:p>
        </w:tc>
        <w:tc>
          <w:tcPr>
            <w:tcW w:w="4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(31,900)</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(70,000)</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(292,342)</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(238,767)</w:t>
            </w:r>
          </w:p>
        </w:tc>
      </w:tr>
    </w:tbl>
    <w:p>
      <w:pPr>
        <w:spacing w:after="0" w:line="22" w:lineRule="exact"/>
        <w:rPr>
          <w:sz w:val="20"/>
          <w:szCs w:val="20"/>
          <w:color w:val="auto"/>
        </w:rPr>
      </w:pPr>
    </w:p>
    <w:p>
      <w:pPr>
        <w:ind w:left="2300" w:hanging="1214"/>
        <w:spacing w:after="0"/>
        <w:tabs>
          <w:tab w:leader="none" w:pos="23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(3)</w:t>
      </w:r>
    </w:p>
    <w:p>
      <w:pPr>
        <w:spacing w:after="0" w:line="10"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b w:val="1"/>
          <w:bCs w:val="1"/>
          <w:color w:val="auto"/>
        </w:rPr>
        <w:t>(106,412)(91,859)</w:t>
      </w:r>
    </w:p>
    <w:p>
      <w:pPr>
        <w:spacing w:after="0" w:line="175" w:lineRule="exact"/>
        <w:rPr>
          <w:sz w:val="20"/>
          <w:szCs w:val="20"/>
          <w:color w:val="auto"/>
        </w:rPr>
      </w:pPr>
    </w:p>
    <w:p>
      <w:pPr>
        <w:ind w:left="480"/>
        <w:spacing w:after="0"/>
        <w:tabs>
          <w:tab w:leader="none" w:pos="680" w:val="left"/>
          <w:tab w:leader="none" w:pos="1680" w:val="left"/>
          <w:tab w:leader="none" w:pos="1980" w:val="left"/>
        </w:tabs>
        <w:rPr>
          <w:sz w:val="20"/>
          <w:szCs w:val="20"/>
          <w:color w:val="auto"/>
        </w:rPr>
      </w:pPr>
      <w:r>
        <w:rPr>
          <w:rFonts w:ascii="Arial" w:cs="Arial" w:eastAsia="Arial" w:hAnsi="Arial"/>
          <w:sz w:val="14"/>
          <w:szCs w:val="14"/>
          <w:b w:val="1"/>
          <w:bCs w:val="1"/>
          <w:color w:val="auto"/>
        </w:rPr>
        <w:t>$</w:t>
        <w:tab/>
        <w:t>106,776</w:t>
      </w:r>
      <w:r>
        <w:rPr>
          <w:sz w:val="20"/>
          <w:szCs w:val="20"/>
          <w:color w:val="auto"/>
        </w:rPr>
        <w:tab/>
      </w:r>
      <w:r>
        <w:rPr>
          <w:rFonts w:ascii="Arial" w:cs="Arial" w:eastAsia="Arial" w:hAnsi="Arial"/>
          <w:sz w:val="14"/>
          <w:szCs w:val="14"/>
          <w:b w:val="1"/>
          <w:bCs w:val="1"/>
          <w:color w:val="auto"/>
        </w:rPr>
        <w:t>$</w:t>
        <w:tab/>
        <w:t>90,896</w:t>
      </w:r>
    </w:p>
    <w:p>
      <w:pPr>
        <w:spacing w:after="0" w:line="247" w:lineRule="exact"/>
        <w:rPr>
          <w:sz w:val="20"/>
          <w:szCs w:val="20"/>
          <w:color w:val="auto"/>
        </w:rPr>
      </w:pPr>
    </w:p>
    <w:p>
      <w:pPr>
        <w:sectPr>
          <w:pgSz w:w="11900" w:h="16838" w:orient="portrait"/>
          <w:cols w:equalWidth="0" w:num="2">
            <w:col w:w="5820" w:space="20"/>
            <w:col w:w="3179"/>
          </w:cols>
          <w:pgMar w:left="1440" w:top="134" w:right="1440" w:bottom="1440" w:gutter="0" w:footer="0" w:header="0"/>
          <w:type w:val="continuous"/>
        </w:sectPr>
      </w:pPr>
    </w:p>
    <w:p>
      <w:pPr>
        <w:spacing w:after="0" w:line="135" w:lineRule="exact"/>
        <w:rPr>
          <w:sz w:val="20"/>
          <w:szCs w:val="20"/>
          <w:color w:val="auto"/>
        </w:rPr>
      </w:pPr>
    </w:p>
    <w:p>
      <w:pPr>
        <w:jc w:val="right"/>
        <w:ind w:right="44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21" w:name="page222"/>
    <w:bookmarkEnd w:id="22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3"/>
                <w:szCs w:val="13"/>
                <w:b w:val="1"/>
                <w:bCs w:val="1"/>
                <w:color w:val="auto"/>
              </w:rPr>
              <w:t>Successor</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60" w:type="dxa"/>
            <w:vAlign w:val="bottom"/>
            <w:tcBorders>
              <w:right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June 21,</w:t>
            </w:r>
          </w:p>
        </w:tc>
        <w:tc>
          <w:tcPr>
            <w:tcW w:w="60" w:type="dxa"/>
            <w:vAlign w:val="bottom"/>
          </w:tcPr>
          <w:p>
            <w:pPr>
              <w:spacing w:after="0"/>
              <w:rPr>
                <w:sz w:val="11"/>
                <w:szCs w:val="11"/>
                <w:color w:val="auto"/>
              </w:rPr>
            </w:pPr>
          </w:p>
        </w:tc>
        <w:tc>
          <w:tcPr>
            <w:tcW w:w="15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January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8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2019 through December</w:t>
            </w:r>
          </w:p>
        </w:tc>
        <w:tc>
          <w:tcPr>
            <w:tcW w:w="16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1, 2019 through June 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31, 2019</w:t>
            </w: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39,681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10,107</w:t>
            </w:r>
          </w:p>
        </w:tc>
        <w:tc>
          <w:tcPr>
            <w:tcW w:w="60" w:type="dxa"/>
            <w:vAlign w:val="bottom"/>
          </w:tcPr>
          <w:p>
            <w:pPr>
              <w:spacing w:after="0"/>
              <w:rPr>
                <w:sz w:val="15"/>
                <w:szCs w:val="15"/>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Write off of in-process research and</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development asset</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4,722</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5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8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Loss from operations</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(53,898)</w:t>
            </w:r>
          </w:p>
        </w:tc>
        <w:tc>
          <w:tcPr>
            <w:tcW w:w="84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5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w:t>
            </w:r>
          </w:p>
        </w:tc>
        <w:tc>
          <w:tcPr>
            <w:tcW w:w="840" w:type="dxa"/>
            <w:vAlign w:val="bottom"/>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5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(53,575)</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(238,767)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center"/>
              <w:ind w:left="55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2" w:lineRule="exact"/>
              <w:rPr>
                <w:sz w:val="20"/>
                <w:szCs w:val="20"/>
                <w:color w:val="auto"/>
              </w:rPr>
            </w:pPr>
            <w:r>
              <w:rPr>
                <w:rFonts w:ascii="Arial" w:cs="Arial" w:eastAsia="Arial" w:hAnsi="Arial"/>
                <w:sz w:val="14"/>
                <w:szCs w:val="14"/>
                <w:color w:val="auto"/>
              </w:rPr>
              <w:t>Net loss per common share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(7.16)</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(31.91)</w:t>
            </w:r>
          </w:p>
        </w:tc>
        <w:tc>
          <w:tcPr>
            <w:tcW w:w="60" w:type="dxa"/>
            <w:vAlign w:val="bottom"/>
          </w:tcPr>
          <w:p>
            <w:pPr>
              <w:spacing w:after="0"/>
              <w:rPr>
                <w:sz w:val="9"/>
                <w:szCs w:val="9"/>
                <w:color w:val="auto"/>
              </w:rPr>
            </w:pPr>
          </w:p>
        </w:tc>
        <w:tc>
          <w:tcPr>
            <w:tcW w:w="860" w:type="dxa"/>
            <w:vAlign w:val="bottom"/>
            <w:vMerge w:val="restart"/>
          </w:tcPr>
          <w:p>
            <w:pPr>
              <w:jc w:val="center"/>
              <w:ind w:left="551"/>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w:t>
            </w:r>
          </w:p>
        </w:tc>
        <w:tc>
          <w:tcPr>
            <w:tcW w:w="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5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Other comprehensive loss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Unrealized gain (loss) on short-term</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(238,770)</w:t>
            </w:r>
          </w:p>
        </w:tc>
        <w:tc>
          <w:tcPr>
            <w:tcW w:w="60" w:type="dxa"/>
            <w:vAlign w:val="bottom"/>
          </w:tcPr>
          <w:p>
            <w:pPr>
              <w:spacing w:after="0"/>
              <w:rPr>
                <w:sz w:val="14"/>
                <w:szCs w:val="14"/>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(6,002)</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-1590675</wp:posOffset>
            </wp:positionV>
            <wp:extent cx="164592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459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-2093595</wp:posOffset>
            </wp:positionV>
            <wp:extent cx="164592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45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46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w:t>
      </w:r>
    </w:p>
    <w:p>
      <w:pPr>
        <w:spacing w:after="0" w:line="2" w:lineRule="exact"/>
        <w:rPr>
          <w:sz w:val="20"/>
          <w:szCs w:val="20"/>
          <w:color w:val="auto"/>
        </w:rPr>
      </w:pPr>
    </w:p>
    <w:p>
      <w:pPr>
        <w:ind w:left="680" w:right="3340"/>
        <w:spacing w:after="0" w:line="222" w:lineRule="auto"/>
        <w:rPr>
          <w:sz w:val="20"/>
          <w:szCs w:val="20"/>
          <w:color w:val="auto"/>
        </w:rPr>
      </w:pPr>
      <w:r>
        <w:rPr>
          <w:rFonts w:ascii="Arial" w:cs="Arial" w:eastAsia="Arial" w:hAnsi="Arial"/>
          <w:sz w:val="23"/>
          <w:szCs w:val="23"/>
          <w:b w:val="1"/>
          <w:bCs w:val="1"/>
          <w:color w:val="auto"/>
        </w:rPr>
        <w:t>For the year ended December 31, 2020 (Successor), the periods June 21, 2019 through December 31, 2019 (Successor) and January 1, 2019 through June 20, 2019 (Predecessor) (In thousands, except unit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67310</wp:posOffset>
            </wp:positionV>
            <wp:extent cx="6720205"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20205" cy="13335"/>
                    </a:xfrm>
                    <a:prstGeom prst="rect">
                      <a:avLst/>
                    </a:prstGeom>
                    <a:noFill/>
                  </pic:spPr>
                </pic:pic>
              </a:graphicData>
            </a:graphic>
          </wp:anchor>
        </w:drawing>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9"/>
                <w:szCs w:val="9"/>
                <w:b w:val="1"/>
                <w:bCs w:val="1"/>
                <w:color w:val="auto"/>
              </w:rPr>
              <w:t>Predecessor</w:t>
            </w: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9"/>
                <w:szCs w:val="9"/>
                <w:b w:val="1"/>
                <w:bCs w:val="1"/>
                <w:color w:val="auto"/>
              </w:rPr>
              <w:t>Successor</w:t>
            </w:r>
          </w:p>
        </w:tc>
        <w:tc>
          <w:tcPr>
            <w:tcW w:w="3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A</w:t>
            </w:r>
          </w:p>
        </w:tc>
        <w:tc>
          <w:tcPr>
            <w:tcW w:w="82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B</w:t>
            </w: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82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ind w:right="97"/>
              <w:spacing w:after="0"/>
              <w:rPr>
                <w:sz w:val="20"/>
                <w:szCs w:val="20"/>
                <w:color w:val="auto"/>
              </w:rPr>
            </w:pPr>
            <w:r>
              <w:rPr>
                <w:rFonts w:ascii="Arial" w:cs="Arial" w:eastAsia="Arial" w:hAnsi="Arial"/>
                <w:sz w:val="9"/>
                <w:szCs w:val="9"/>
                <w:b w:val="1"/>
                <w:bCs w:val="1"/>
                <w:color w:val="auto"/>
              </w:rPr>
              <w:t>Predecessor</w:t>
            </w:r>
          </w:p>
        </w:tc>
        <w:tc>
          <w:tcPr>
            <w:tcW w:w="540" w:type="dxa"/>
            <w:vAlign w:val="bottom"/>
          </w:tcPr>
          <w:p>
            <w:pPr>
              <w:spacing w:after="0"/>
              <w:rPr>
                <w:sz w:val="5"/>
                <w:szCs w:val="5"/>
                <w:color w:val="auto"/>
              </w:rPr>
            </w:pPr>
          </w:p>
        </w:tc>
        <w:tc>
          <w:tcPr>
            <w:tcW w:w="800" w:type="dxa"/>
            <w:vAlign w:val="bottom"/>
            <w:gridSpan w:val="2"/>
            <w:vMerge w:val="restart"/>
          </w:tcPr>
          <w:p>
            <w:pPr>
              <w:jc w:val="right"/>
              <w:ind w:right="217"/>
              <w:spacing w:after="0"/>
              <w:rPr>
                <w:sz w:val="20"/>
                <w:szCs w:val="20"/>
                <w:color w:val="auto"/>
              </w:rPr>
            </w:pPr>
            <w:r>
              <w:rPr>
                <w:rFonts w:ascii="Arial" w:cs="Arial" w:eastAsia="Arial" w:hAnsi="Arial"/>
                <w:sz w:val="9"/>
                <w:szCs w:val="9"/>
                <w:b w:val="1"/>
                <w:bCs w:val="1"/>
                <w:color w:val="auto"/>
              </w:rPr>
              <w:t>Successor</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Predecessor</w:t>
            </w:r>
          </w:p>
        </w:tc>
        <w:tc>
          <w:tcPr>
            <w:tcW w:w="5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Successor</w:t>
            </w: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Other</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tcBorders>
              <w:bottom w:val="single" w:sz="8" w:color="auto"/>
            </w:tcBorders>
            <w:gridSpan w:val="3"/>
            <w:vMerge w:val="continue"/>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0" w:type="dxa"/>
            <w:vAlign w:val="bottom"/>
            <w:gridSpan w:val="2"/>
          </w:tcPr>
          <w:p>
            <w:pPr>
              <w:jc w:val="right"/>
              <w:ind w:right="37"/>
              <w:spacing w:after="0" w:line="65" w:lineRule="exact"/>
              <w:rPr>
                <w:sz w:val="20"/>
                <w:szCs w:val="20"/>
                <w:color w:val="auto"/>
              </w:rPr>
            </w:pPr>
            <w:r>
              <w:rPr>
                <w:rFonts w:ascii="Arial" w:cs="Arial" w:eastAsia="Arial" w:hAnsi="Arial"/>
                <w:sz w:val="7"/>
                <w:szCs w:val="7"/>
                <w:b w:val="1"/>
                <w:bCs w:val="1"/>
                <w:color w:val="auto"/>
              </w:rPr>
              <w:t>Additional</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5"/>
                <w:szCs w:val="5"/>
                <w:color w:val="auto"/>
              </w:rPr>
            </w:pPr>
          </w:p>
        </w:tc>
        <w:tc>
          <w:tcPr>
            <w:tcW w:w="320" w:type="dxa"/>
            <w:vAlign w:val="bottom"/>
          </w:tcPr>
          <w:p>
            <w:pPr>
              <w:jc w:val="right"/>
              <w:spacing w:after="0" w:line="65" w:lineRule="exact"/>
              <w:rPr>
                <w:sz w:val="20"/>
                <w:szCs w:val="20"/>
                <w:color w:val="auto"/>
              </w:rPr>
            </w:pPr>
            <w:r>
              <w:rPr>
                <w:rFonts w:ascii="Arial" w:cs="Arial" w:eastAsia="Arial" w:hAnsi="Arial"/>
                <w:sz w:val="7"/>
                <w:szCs w:val="7"/>
                <w:b w:val="1"/>
                <w:bCs w:val="1"/>
                <w:color w:val="auto"/>
              </w:rPr>
              <w:t>Tot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440" w:type="dxa"/>
            <w:vAlign w:val="bottom"/>
          </w:tcPr>
          <w:p>
            <w:pPr>
              <w:jc w:val="right"/>
              <w:ind w:right="17"/>
              <w:spacing w:after="0" w:line="87" w:lineRule="exact"/>
              <w:rPr>
                <w:sz w:val="20"/>
                <w:szCs w:val="20"/>
                <w:color w:val="auto"/>
              </w:rPr>
            </w:pPr>
            <w:r>
              <w:rPr>
                <w:rFonts w:ascii="Arial" w:cs="Arial" w:eastAsia="Arial" w:hAnsi="Arial"/>
                <w:sz w:val="9"/>
                <w:szCs w:val="9"/>
                <w:b w:val="1"/>
                <w:bCs w:val="1"/>
                <w:color w:val="auto"/>
                <w:w w:val="92"/>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540" w:type="dxa"/>
            <w:vAlign w:val="bottom"/>
          </w:tcPr>
          <w:p>
            <w:pPr>
              <w:ind w:left="60"/>
              <w:spacing w:after="0" w:line="87" w:lineRule="exact"/>
              <w:rPr>
                <w:sz w:val="20"/>
                <w:szCs w:val="20"/>
                <w:color w:val="auto"/>
              </w:rPr>
            </w:pPr>
            <w:r>
              <w:rPr>
                <w:rFonts w:ascii="Arial" w:cs="Arial" w:eastAsia="Arial" w:hAnsi="Arial"/>
                <w:sz w:val="9"/>
                <w:szCs w:val="9"/>
                <w:b w:val="1"/>
                <w:bCs w:val="1"/>
                <w:color w:val="auto"/>
              </w:rPr>
              <w:t>Common</w:t>
            </w:r>
          </w:p>
        </w:tc>
        <w:tc>
          <w:tcPr>
            <w:tcW w:w="800" w:type="dxa"/>
            <w:vAlign w:val="bottom"/>
            <w:gridSpan w:val="2"/>
          </w:tcPr>
          <w:p>
            <w:pPr>
              <w:jc w:val="right"/>
              <w:ind w:right="37"/>
              <w:spacing w:after="0" w:line="87" w:lineRule="exact"/>
              <w:rPr>
                <w:sz w:val="20"/>
                <w:szCs w:val="20"/>
                <w:color w:val="auto"/>
              </w:rPr>
            </w:pPr>
            <w:r>
              <w:rPr>
                <w:rFonts w:ascii="Arial" w:cs="Arial" w:eastAsia="Arial" w:hAnsi="Arial"/>
                <w:sz w:val="9"/>
                <w:szCs w:val="9"/>
                <w:b w:val="1"/>
                <w:bCs w:val="1"/>
                <w:color w:val="auto"/>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7"/>
                <w:szCs w:val="7"/>
                <w:color w:val="auto"/>
              </w:rPr>
            </w:pPr>
          </w:p>
        </w:tc>
        <w:tc>
          <w:tcPr>
            <w:tcW w:w="2140" w:type="dxa"/>
            <w:vAlign w:val="bottom"/>
            <w:gridSpan w:val="7"/>
          </w:tcPr>
          <w:p>
            <w:pPr>
              <w:jc w:val="right"/>
              <w:spacing w:after="0" w:line="87" w:lineRule="exact"/>
              <w:rPr>
                <w:sz w:val="20"/>
                <w:szCs w:val="20"/>
                <w:color w:val="auto"/>
              </w:rPr>
            </w:pPr>
            <w:r>
              <w:rPr>
                <w:rFonts w:ascii="Arial" w:cs="Arial" w:eastAsia="Arial" w:hAnsi="Arial"/>
                <w:sz w:val="9"/>
                <w:szCs w:val="9"/>
                <w:b w:val="1"/>
                <w:bCs w:val="1"/>
                <w:color w:val="auto"/>
              </w:rPr>
              <w:t>Paid-In Subscription Accumulated Accumulated</w:t>
            </w:r>
          </w:p>
        </w:tc>
        <w:tc>
          <w:tcPr>
            <w:tcW w:w="1300" w:type="dxa"/>
            <w:vAlign w:val="bottom"/>
            <w:gridSpan w:val="3"/>
          </w:tcPr>
          <w:p>
            <w:pPr>
              <w:jc w:val="right"/>
              <w:spacing w:after="0" w:line="87" w:lineRule="exact"/>
              <w:rPr>
                <w:sz w:val="20"/>
                <w:szCs w:val="20"/>
                <w:color w:val="auto"/>
              </w:rPr>
            </w:pPr>
            <w:r>
              <w:rPr>
                <w:rFonts w:ascii="Arial" w:cs="Arial" w:eastAsia="Arial" w:hAnsi="Arial"/>
                <w:sz w:val="9"/>
                <w:szCs w:val="9"/>
                <w:b w:val="1"/>
                <w:bCs w:val="1"/>
                <w:color w:val="auto"/>
              </w:rPr>
              <w:t>Income Stockholder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Units</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w w:val="93"/>
              </w:rPr>
              <w:t>Amount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Capital</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Receivable</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9"/>
                <w:szCs w:val="9"/>
                <w:b w:val="1"/>
                <w:bCs w:val="1"/>
                <w:color w:val="auto"/>
              </w:rPr>
              <w:t>(Loss)</w:t>
            </w: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2018, Predecessor</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35,000,000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b w:val="1"/>
                <w:bCs w:val="1"/>
                <w:color w:val="auto"/>
                <w:w w:val="96"/>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72"/>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5,961,607</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$ 1</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b w:val="1"/>
                <w:bCs w:val="1"/>
                <w:color w:val="auto"/>
                <w:w w:val="72"/>
              </w:rPr>
              <w:t>— $</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9"/>
                <w:szCs w:val="9"/>
                <w:b w:val="1"/>
                <w:bCs w:val="1"/>
                <w:color w:val="auto"/>
                <w:w w:val="91"/>
              </w:rPr>
              <w:t>(1,894)</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b w:val="1"/>
                <w:bCs w:val="1"/>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Issuance of common stock</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23,241</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 based compensation expense</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14</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7"/>
              <w:spacing w:after="0" w:line="102" w:lineRule="exact"/>
              <w:rPr>
                <w:sz w:val="20"/>
                <w:szCs w:val="20"/>
                <w:color w:val="auto"/>
              </w:rPr>
            </w:pPr>
            <w:r>
              <w:rPr>
                <w:rFonts w:ascii="Arial" w:cs="Arial" w:eastAsia="Arial" w:hAnsi="Arial"/>
                <w:sz w:val="9"/>
                <w:szCs w:val="9"/>
                <w:color w:val="auto"/>
                <w:w w:val="91"/>
              </w:rPr>
              <w:t>(6,002)</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(6,00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June 20, 2019, Predecessor</w:t>
            </w:r>
          </w:p>
        </w:tc>
        <w:tc>
          <w:tcPr>
            <w:tcW w:w="4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7"/>
              </w:rPr>
              <w:t>35,000,000</w:t>
            </w:r>
          </w:p>
        </w:tc>
        <w:tc>
          <w:tcPr>
            <w:tcW w:w="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4"/>
              </w:rPr>
              <w:t>34,922</w:t>
            </w:r>
          </w:p>
        </w:tc>
        <w:tc>
          <w:tcPr>
            <w:tcW w:w="520" w:type="dxa"/>
            <w:vAlign w:val="bottom"/>
            <w:tcBorders>
              <w:bottom w:val="single" w:sz="8" w:color="auto"/>
            </w:tcBorders>
            <w:shd w:val="clear" w:color="auto" w:fill="CCEEFF"/>
          </w:tcPr>
          <w:p>
            <w:pPr>
              <w:ind w:left="340"/>
              <w:spacing w:after="0" w:line="98" w:lineRule="exact"/>
              <w:rPr>
                <w:sz w:val="20"/>
                <w:szCs w:val="20"/>
                <w:color w:val="auto"/>
              </w:rPr>
            </w:pPr>
            <w:r>
              <w:rPr>
                <w:rFonts w:ascii="Arial" w:cs="Arial" w:eastAsia="Arial" w:hAnsi="Arial"/>
                <w:sz w:val="9"/>
                <w:szCs w:val="9"/>
                <w:b w:val="1"/>
                <w:bCs w:val="1"/>
                <w:color w:val="auto"/>
                <w:w w:val="96"/>
              </w:rPr>
              <w:t>— $</w:t>
            </w:r>
          </w:p>
        </w:tc>
        <w:tc>
          <w:tcPr>
            <w:tcW w:w="2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shd w:val="clear" w:color="auto" w:fill="CCEEFF"/>
          </w:tcPr>
          <w:p>
            <w:pPr>
              <w:ind w:left="360"/>
              <w:spacing w:after="0" w:line="98" w:lineRule="exact"/>
              <w:rPr>
                <w:sz w:val="20"/>
                <w:szCs w:val="20"/>
                <w:color w:val="auto"/>
              </w:rPr>
            </w:pPr>
            <w:r>
              <w:rPr>
                <w:rFonts w:ascii="Arial" w:cs="Arial" w:eastAsia="Arial" w:hAnsi="Arial"/>
                <w:sz w:val="9"/>
                <w:szCs w:val="9"/>
                <w:b w:val="1"/>
                <w:bCs w:val="1"/>
                <w:color w:val="auto"/>
                <w:w w:val="72"/>
              </w:rPr>
              <w:t>— $</w:t>
            </w:r>
          </w:p>
        </w:tc>
        <w:tc>
          <w:tcPr>
            <w:tcW w:w="760" w:type="dxa"/>
            <w:vAlign w:val="bottom"/>
            <w:tcBorders>
              <w:bottom w:val="single" w:sz="8" w:color="auto"/>
            </w:tcBorders>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 5,984,848</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$ 1</w:t>
            </w:r>
          </w:p>
        </w:tc>
        <w:tc>
          <w:tcPr>
            <w:tcW w:w="540" w:type="dxa"/>
            <w:vAlign w:val="bottom"/>
            <w:tcBorders>
              <w:bottom w:val="single" w:sz="8" w:color="auto"/>
            </w:tcBorders>
            <w:shd w:val="clear" w:color="auto" w:fill="CCEEFF"/>
          </w:tcPr>
          <w:p>
            <w:pPr>
              <w:ind w:left="400"/>
              <w:spacing w:after="0" w:line="98" w:lineRule="exact"/>
              <w:rPr>
                <w:sz w:val="20"/>
                <w:szCs w:val="20"/>
                <w:color w:val="auto"/>
              </w:rPr>
            </w:pPr>
            <w:r>
              <w:rPr>
                <w:rFonts w:ascii="Arial" w:cs="Arial" w:eastAsia="Arial" w:hAnsi="Arial"/>
                <w:sz w:val="9"/>
                <w:szCs w:val="9"/>
                <w:b w:val="1"/>
                <w:bCs w:val="1"/>
                <w:color w:val="auto"/>
                <w:w w:val="72"/>
              </w:rPr>
              <w:t>— $</w:t>
            </w:r>
          </w:p>
        </w:tc>
        <w:tc>
          <w:tcPr>
            <w:tcW w:w="44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168</w:t>
            </w:r>
          </w:p>
        </w:tc>
        <w:tc>
          <w:tcPr>
            <w:tcW w:w="1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77"/>
              <w:spacing w:after="0" w:line="98" w:lineRule="exact"/>
              <w:rPr>
                <w:sz w:val="20"/>
                <w:szCs w:val="20"/>
                <w:color w:val="auto"/>
              </w:rPr>
            </w:pPr>
            <w:r>
              <w:rPr>
                <w:rFonts w:ascii="Arial" w:cs="Arial" w:eastAsia="Arial" w:hAnsi="Arial"/>
                <w:sz w:val="9"/>
                <w:szCs w:val="9"/>
                <w:b w:val="1"/>
                <w:bCs w:val="1"/>
                <w:color w:val="auto"/>
                <w:w w:val="91"/>
              </w:rPr>
              <w:t>(7,896)</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ind w:right="17"/>
              <w:spacing w:after="0" w:line="98" w:lineRule="exact"/>
              <w:rPr>
                <w:sz w:val="20"/>
                <w:szCs w:val="20"/>
                <w:color w:val="auto"/>
              </w:rPr>
            </w:pPr>
            <w:r>
              <w:rPr>
                <w:rFonts w:ascii="Arial" w:cs="Arial" w:eastAsia="Arial" w:hAnsi="Arial"/>
                <w:sz w:val="9"/>
                <w:szCs w:val="9"/>
                <w:b w:val="1"/>
                <w:bCs w:val="1"/>
                <w:color w:val="auto"/>
              </w:rPr>
              <w:t>—</w:t>
            </w:r>
          </w:p>
        </w:tc>
        <w:tc>
          <w:tcPr>
            <w:tcW w:w="840" w:type="dxa"/>
            <w:vAlign w:val="bottom"/>
            <w:tcBorders>
              <w:bottom w:val="single" w:sz="8" w:color="auto"/>
            </w:tcBorders>
            <w:shd w:val="clear" w:color="auto" w:fill="CCEEFF"/>
          </w:tcPr>
          <w:p>
            <w:pPr>
              <w:jc w:val="right"/>
              <w:ind w:right="238"/>
              <w:spacing w:after="0" w:line="98"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June 21, 2019, Successor</w:t>
            </w:r>
          </w:p>
        </w:tc>
        <w:tc>
          <w:tcPr>
            <w:tcW w:w="52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ind w:left="340"/>
              <w:spacing w:after="0" w:line="103" w:lineRule="exact"/>
              <w:rPr>
                <w:sz w:val="20"/>
                <w:szCs w:val="20"/>
                <w:color w:val="auto"/>
              </w:rPr>
            </w:pPr>
            <w:r>
              <w:rPr>
                <w:rFonts w:ascii="Arial" w:cs="Arial" w:eastAsia="Arial" w:hAnsi="Arial"/>
                <w:sz w:val="9"/>
                <w:szCs w:val="9"/>
                <w:b w:val="1"/>
                <w:bCs w:val="1"/>
                <w:color w:val="auto"/>
                <w:w w:val="96"/>
              </w:rPr>
              <w:t>— $</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00" w:type="dxa"/>
            <w:vAlign w:val="bottom"/>
          </w:tcPr>
          <w:p>
            <w:pPr>
              <w:ind w:left="360"/>
              <w:spacing w:after="0" w:line="103" w:lineRule="exact"/>
              <w:rPr>
                <w:sz w:val="20"/>
                <w:szCs w:val="20"/>
                <w:color w:val="auto"/>
              </w:rPr>
            </w:pPr>
            <w:r>
              <w:rPr>
                <w:rFonts w:ascii="Arial" w:cs="Arial" w:eastAsia="Arial" w:hAnsi="Arial"/>
                <w:sz w:val="9"/>
                <w:szCs w:val="9"/>
                <w:b w:val="1"/>
                <w:bCs w:val="1"/>
                <w:color w:val="auto"/>
                <w:w w:val="72"/>
              </w:rPr>
              <w:t>— $</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44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3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1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Pr>
          <w:p>
            <w:pPr>
              <w:jc w:val="right"/>
              <w:ind w:right="17"/>
              <w:spacing w:after="0" w:line="103" w:lineRule="exact"/>
              <w:rPr>
                <w:sz w:val="20"/>
                <w:szCs w:val="20"/>
                <w:color w:val="auto"/>
              </w:rPr>
            </w:pPr>
            <w:r>
              <w:rPr>
                <w:rFonts w:ascii="Arial" w:cs="Arial" w:eastAsia="Arial" w:hAnsi="Arial"/>
                <w:sz w:val="9"/>
                <w:szCs w:val="9"/>
                <w:b w:val="1"/>
                <w:bCs w:val="1"/>
                <w:color w:val="auto"/>
              </w:rPr>
              <w:t>—</w:t>
            </w:r>
          </w:p>
        </w:tc>
        <w:tc>
          <w:tcPr>
            <w:tcW w:w="840" w:type="dxa"/>
            <w:vAlign w:val="bottom"/>
          </w:tcPr>
          <w:p>
            <w:pPr>
              <w:jc w:val="right"/>
              <w:ind w:right="238"/>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2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Issuance of common units for cash, net of equity</w:t>
            </w: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74,83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ind w:left="60"/>
              <w:spacing w:after="0" w:line="102" w:lineRule="exact"/>
              <w:rPr>
                <w:sz w:val="20"/>
                <w:szCs w:val="20"/>
                <w:color w:val="auto"/>
              </w:rPr>
            </w:pPr>
            <w:r>
              <w:rPr>
                <w:rFonts w:ascii="Arial" w:cs="Arial" w:eastAsia="Arial" w:hAnsi="Arial"/>
                <w:sz w:val="9"/>
                <w:szCs w:val="9"/>
                <w:color w:val="auto"/>
              </w:rPr>
              <w:t>issuance costs</w:t>
            </w:r>
          </w:p>
        </w:tc>
        <w:tc>
          <w:tcPr>
            <w:tcW w:w="4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26,143,790</w:t>
            </w:r>
          </w:p>
        </w:tc>
        <w:tc>
          <w:tcPr>
            <w:tcW w:w="44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w w:val="98"/>
              </w:rPr>
              <w:t>144,839</w:t>
            </w:r>
          </w:p>
        </w:tc>
        <w:tc>
          <w:tcPr>
            <w:tcW w:w="3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95"/>
              </w:rPr>
              <w:t>(70,000)</w:t>
            </w: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20" w:type="dxa"/>
            <w:vAlign w:val="bottom"/>
          </w:tcPr>
          <w:p>
            <w:pPr>
              <w:spacing w:after="0" w:line="73" w:lineRule="exact"/>
              <w:rPr>
                <w:sz w:val="20"/>
                <w:szCs w:val="20"/>
                <w:color w:val="auto"/>
              </w:rPr>
            </w:pPr>
            <w:r>
              <w:rPr>
                <w:rFonts w:ascii="Arial" w:cs="Arial" w:eastAsia="Arial" w:hAnsi="Arial"/>
                <w:sz w:val="7"/>
                <w:szCs w:val="7"/>
                <w:color w:val="auto"/>
              </w:rPr>
              <w:t>Issuance of common units for acquired assets, net</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251,70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ind w:left="60"/>
              <w:spacing w:after="0" w:line="102" w:lineRule="exact"/>
              <w:rPr>
                <w:sz w:val="20"/>
                <w:szCs w:val="20"/>
                <w:color w:val="auto"/>
              </w:rPr>
            </w:pPr>
            <w:r>
              <w:rPr>
                <w:rFonts w:ascii="Arial" w:cs="Arial" w:eastAsia="Arial" w:hAnsi="Arial"/>
                <w:sz w:val="9"/>
                <w:szCs w:val="9"/>
                <w:color w:val="auto"/>
              </w:rPr>
              <w:t>of equity issuance costs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line="102" w:lineRule="exact"/>
              <w:rPr>
                <w:sz w:val="20"/>
                <w:szCs w:val="20"/>
                <w:color w:val="auto"/>
              </w:rPr>
            </w:pPr>
            <w:r>
              <w:rPr>
                <w:rFonts w:ascii="Arial" w:cs="Arial" w:eastAsia="Arial" w:hAnsi="Arial"/>
                <w:sz w:val="9"/>
                <w:szCs w:val="9"/>
                <w:color w:val="auto"/>
              </w:rPr>
              <w:t>67,226,891</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w w:val="98"/>
              </w:rPr>
              <w:t>251,700</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Cancellation of LLC Units (Note 2)</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w w:val="97"/>
              </w:rPr>
              <w:t>(93,370,681) (396,539)</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8"/>
              </w:rPr>
              <w:t>(396,53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Capital restructuring (Note 2)</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spacing w:after="0" w:line="102" w:lineRule="exact"/>
              <w:rPr>
                <w:sz w:val="20"/>
                <w:szCs w:val="20"/>
                <w:color w:val="auto"/>
              </w:rPr>
            </w:pPr>
            <w:r>
              <w:rPr>
                <w:rFonts w:ascii="Arial" w:cs="Arial" w:eastAsia="Arial" w:hAnsi="Arial"/>
                <w:sz w:val="9"/>
                <w:szCs w:val="9"/>
                <w:color w:val="auto"/>
              </w:rPr>
              <w:t>35,000,000</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w w:val="87"/>
              </w:rPr>
              <w:t>34,922</w:t>
            </w:r>
          </w:p>
        </w:tc>
        <w:tc>
          <w:tcPr>
            <w:tcW w:w="500" w:type="dxa"/>
            <w:vAlign w:val="bottom"/>
          </w:tcPr>
          <w:p>
            <w:pPr>
              <w:spacing w:after="0" w:line="102" w:lineRule="exact"/>
              <w:rPr>
                <w:sz w:val="20"/>
                <w:szCs w:val="20"/>
                <w:color w:val="auto"/>
              </w:rPr>
            </w:pPr>
            <w:r>
              <w:rPr>
                <w:rFonts w:ascii="Arial" w:cs="Arial" w:eastAsia="Arial" w:hAnsi="Arial"/>
                <w:sz w:val="9"/>
                <w:szCs w:val="9"/>
                <w:color w:val="auto"/>
              </w:rPr>
              <w:t>26,143,790</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w w:val="92"/>
              </w:rPr>
              <w:t>144,839</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 7,481,861</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w w:val="92"/>
              </w:rPr>
              <w:t>216,777</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216,77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Unrealized loss on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Stock based compensation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133</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(238,767)</w:t>
            </w:r>
          </w:p>
        </w:tc>
        <w:tc>
          <w:tcPr>
            <w:tcW w:w="8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(238,76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December 31, 2019</w:t>
            </w:r>
          </w:p>
        </w:tc>
        <w:tc>
          <w:tcPr>
            <w:tcW w:w="4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spacing w:after="0" w:line="103" w:lineRule="exact"/>
              <w:rPr>
                <w:sz w:val="20"/>
                <w:szCs w:val="20"/>
                <w:color w:val="auto"/>
              </w:rPr>
            </w:pPr>
            <w:r>
              <w:rPr>
                <w:rFonts w:ascii="Arial" w:cs="Arial" w:eastAsia="Arial" w:hAnsi="Arial"/>
                <w:sz w:val="9"/>
                <w:szCs w:val="9"/>
                <w:b w:val="1"/>
                <w:bCs w:val="1"/>
                <w:color w:val="auto"/>
              </w:rPr>
              <w:t>35,000,000</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87"/>
              </w:rPr>
              <w:t>34,922</w:t>
            </w:r>
          </w:p>
        </w:tc>
        <w:tc>
          <w:tcPr>
            <w:tcW w:w="500" w:type="dxa"/>
            <w:vAlign w:val="bottom"/>
          </w:tcPr>
          <w:p>
            <w:pPr>
              <w:spacing w:after="0" w:line="103" w:lineRule="exact"/>
              <w:rPr>
                <w:sz w:val="20"/>
                <w:szCs w:val="20"/>
                <w:color w:val="auto"/>
              </w:rPr>
            </w:pPr>
            <w:r>
              <w:rPr>
                <w:rFonts w:ascii="Arial" w:cs="Arial" w:eastAsia="Arial" w:hAnsi="Arial"/>
                <w:sz w:val="9"/>
                <w:szCs w:val="9"/>
                <w:b w:val="1"/>
                <w:bCs w:val="1"/>
                <w:color w:val="auto"/>
              </w:rPr>
              <w:t>26,143,790</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8"/>
                <w:szCs w:val="8"/>
                <w:color w:val="auto"/>
              </w:rPr>
            </w:pP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216,910</w:t>
            </w:r>
          </w:p>
        </w:tc>
        <w:tc>
          <w:tcPr>
            <w:tcW w:w="160" w:type="dxa"/>
            <w:vAlign w:val="bottom"/>
          </w:tcPr>
          <w:p>
            <w:pPr>
              <w:spacing w:after="0"/>
              <w:rPr>
                <w:sz w:val="8"/>
                <w:szCs w:val="8"/>
                <w:color w:val="auto"/>
              </w:rPr>
            </w:pPr>
          </w:p>
        </w:tc>
        <w:tc>
          <w:tcPr>
            <w:tcW w:w="3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5"/>
              </w:rPr>
              <w:t>(70,000)</w:t>
            </w:r>
          </w:p>
        </w:tc>
        <w:tc>
          <w:tcPr>
            <w:tcW w:w="240" w:type="dxa"/>
            <w:vAlign w:val="bottom"/>
          </w:tcPr>
          <w:p>
            <w:pPr>
              <w:spacing w:after="0"/>
              <w:rPr>
                <w:sz w:val="8"/>
                <w:szCs w:val="8"/>
                <w:color w:val="auto"/>
              </w:rPr>
            </w:pP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4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8"/>
              </w:rPr>
              <w:t>(238,767)</w:t>
            </w:r>
          </w:p>
        </w:tc>
        <w:tc>
          <w:tcPr>
            <w:tcW w:w="840" w:type="dxa"/>
            <w:vAlign w:val="bottom"/>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(91,85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Receipt of subscription receivable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38,100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38,10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Unrealized gain on short-term investments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Warrants on long term debt</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46</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Foreign currency translation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19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(53,575)</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December 31, 2020, Successor</w:t>
            </w:r>
          </w:p>
        </w:tc>
        <w:tc>
          <w:tcPr>
            <w:tcW w:w="52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9"/>
                <w:szCs w:val="9"/>
                <w:b w:val="1"/>
                <w:bCs w:val="1"/>
                <w:color w:val="auto"/>
                <w:w w:val="95"/>
              </w:rPr>
              <w:t>35,000,000 $</w:t>
            </w:r>
          </w:p>
        </w:tc>
        <w:tc>
          <w:tcPr>
            <w:tcW w:w="78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1"/>
              </w:rPr>
              <w:t>34,922 26,143,790 $</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CCEEFF"/>
            </w:tcBorders>
            <w:shd w:val="clear" w:color="auto" w:fill="CCEEFF"/>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80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Borders>
              <w:bottom w:val="single" w:sz="8" w:color="CCEEFF"/>
            </w:tcBorders>
            <w:shd w:val="clear" w:color="auto" w:fill="CCEEFF"/>
          </w:tcPr>
          <w:p>
            <w:pPr>
              <w:jc w:val="right"/>
              <w:ind w:right="57"/>
              <w:spacing w:after="0" w:line="103" w:lineRule="exact"/>
              <w:rPr>
                <w:sz w:val="20"/>
                <w:szCs w:val="20"/>
                <w:color w:val="auto"/>
              </w:rPr>
            </w:pPr>
            <w:r>
              <w:rPr>
                <w:rFonts w:ascii="Arial" w:cs="Arial" w:eastAsia="Arial" w:hAnsi="Arial"/>
                <w:sz w:val="9"/>
                <w:szCs w:val="9"/>
                <w:b w:val="1"/>
                <w:bCs w:val="1"/>
                <w:color w:val="auto"/>
              </w:rPr>
              <w:t>$ 1</w:t>
            </w:r>
          </w:p>
        </w:tc>
        <w:tc>
          <w:tcPr>
            <w:tcW w:w="1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217,832</w:t>
            </w:r>
          </w:p>
        </w:tc>
        <w:tc>
          <w:tcPr>
            <w:tcW w:w="16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5"/>
              </w:rPr>
              <w:t>(31,900)</w:t>
            </w:r>
          </w:p>
        </w:tc>
        <w:tc>
          <w:tcPr>
            <w:tcW w:w="2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(292,342)</w:t>
            </w:r>
          </w:p>
        </w:tc>
        <w:tc>
          <w:tcPr>
            <w:tcW w:w="840" w:type="dxa"/>
            <w:vAlign w:val="bottom"/>
            <w:tcBorders>
              <w:bottom w:val="single" w:sz="8" w:color="CCEEFF"/>
            </w:tcBorders>
            <w:shd w:val="clear" w:color="auto" w:fill="CCEEFF"/>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(106,41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-114935</wp:posOffset>
            </wp:positionV>
            <wp:extent cx="129857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9857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-1508760</wp:posOffset>
            </wp:positionV>
            <wp:extent cx="129857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7063740"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260"/>
          </w:cols>
          <w:pgMar w:left="400" w:top="134" w:right="239" w:bottom="1440" w:gutter="0" w:footer="0" w:header="0"/>
        </w:sectPr>
      </w:pPr>
    </w:p>
    <w:bookmarkStart w:id="223" w:name="page224"/>
    <w:bookmarkEnd w:id="22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Successor</w:t>
            </w:r>
          </w:p>
        </w:tc>
        <w:tc>
          <w:tcPr>
            <w:tcW w:w="600" w:type="dxa"/>
            <w:vAlign w:val="bottom"/>
            <w:tcBorders>
              <w:top w:val="single" w:sz="8" w:color="auto"/>
              <w:bottom w:val="single" w:sz="8" w:color="auto"/>
              <w:right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40" w:type="dxa"/>
            <w:vAlign w:val="bottom"/>
            <w:tcBorders>
              <w:right w:val="single" w:sz="8" w:color="auto"/>
            </w:tcBorders>
            <w:gridSpan w:val="3"/>
          </w:tcPr>
          <w:p>
            <w:pPr>
              <w:jc w:val="right"/>
              <w:ind w:right="16"/>
              <w:spacing w:after="0" w:line="126" w:lineRule="exact"/>
              <w:rPr>
                <w:sz w:val="20"/>
                <w:szCs w:val="20"/>
                <w:color w:val="auto"/>
              </w:rPr>
            </w:pPr>
            <w:r>
              <w:rPr>
                <w:rFonts w:ascii="Arial" w:cs="Arial" w:eastAsia="Arial" w:hAnsi="Arial"/>
                <w:sz w:val="13"/>
                <w:szCs w:val="13"/>
                <w:b w:val="1"/>
                <w:bCs w:val="1"/>
                <w:color w:val="auto"/>
              </w:rPr>
              <w:t>For the period June 21,</w:t>
            </w:r>
          </w:p>
        </w:tc>
        <w:tc>
          <w:tcPr>
            <w:tcW w:w="100" w:type="dxa"/>
            <w:vAlign w:val="bottom"/>
          </w:tcPr>
          <w:p>
            <w:pPr>
              <w:spacing w:after="0"/>
              <w:rPr>
                <w:sz w:val="10"/>
                <w:szCs w:val="10"/>
                <w:color w:val="auto"/>
              </w:rPr>
            </w:pPr>
          </w:p>
        </w:tc>
        <w:tc>
          <w:tcPr>
            <w:tcW w:w="11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6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For the year ended</w:t>
            </w:r>
          </w:p>
        </w:tc>
        <w:tc>
          <w:tcPr>
            <w:tcW w:w="14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2019 to December 31,</w:t>
            </w:r>
          </w:p>
        </w:tc>
        <w:tc>
          <w:tcPr>
            <w:tcW w:w="12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December 31, 2020</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June 20, 2019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Cash flows from operating activities</w:t>
            </w: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(53,575)</w:t>
            </w:r>
          </w:p>
        </w:tc>
        <w:tc>
          <w:tcPr>
            <w:tcW w:w="880" w:type="dxa"/>
            <w:vAlign w:val="bottom"/>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(238,767)</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(6,002)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b w:val="1"/>
                <w:bCs w:val="1"/>
                <w:color w:val="auto"/>
              </w:rPr>
              <w:t>Adjustments to reconcile net loss to net cash</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used in 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Write off of in-process research and development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380"/>
              <w:spacing w:after="0" w:line="149" w:lineRule="exact"/>
              <w:rPr>
                <w:sz w:val="20"/>
                <w:szCs w:val="20"/>
                <w:color w:val="auto"/>
              </w:rPr>
            </w:pPr>
            <w:r>
              <w:rPr>
                <w:rFonts w:ascii="Arial" w:cs="Arial" w:eastAsia="Arial" w:hAnsi="Arial"/>
                <w:sz w:val="13"/>
                <w:szCs w:val="13"/>
                <w:color w:val="auto"/>
              </w:rPr>
              <w:t>asset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ind w:right="16"/>
              <w:spacing w:after="0" w:line="149" w:lineRule="exact"/>
              <w:rPr>
                <w:sz w:val="20"/>
                <w:szCs w:val="20"/>
                <w:color w:val="auto"/>
              </w:rPr>
            </w:pPr>
            <w:r>
              <w:rPr>
                <w:rFonts w:ascii="Arial" w:cs="Arial" w:eastAsia="Arial" w:hAnsi="Arial"/>
                <w:sz w:val="13"/>
                <w:szCs w:val="13"/>
                <w:color w:val="auto"/>
              </w:rPr>
              <w:t>4,722</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225,946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Amortization of deferred financing cost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876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Change in operating assets and liabilities: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Escrow deposit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Operating lease liability</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2,175</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2,062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240"/>
              <w:spacing w:after="0" w:line="139" w:lineRule="exact"/>
              <w:rPr>
                <w:sz w:val="20"/>
                <w:szCs w:val="20"/>
                <w:color w:val="auto"/>
              </w:rPr>
            </w:pPr>
            <w:r>
              <w:rPr>
                <w:rFonts w:ascii="Arial" w:cs="Arial" w:eastAsia="Arial" w:hAnsi="Arial"/>
                <w:sz w:val="13"/>
                <w:szCs w:val="13"/>
                <w:color w:val="auto"/>
              </w:rPr>
              <w:t>Accrued expenses and other liabilities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2,334</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380"/>
              <w:spacing w:after="0" w:line="130" w:lineRule="exact"/>
              <w:rPr>
                <w:sz w:val="20"/>
                <w:szCs w:val="20"/>
                <w:color w:val="auto"/>
              </w:rPr>
            </w:pPr>
            <w:r>
              <w:rPr>
                <w:rFonts w:ascii="Arial" w:cs="Arial" w:eastAsia="Arial" w:hAnsi="Arial"/>
                <w:sz w:val="13"/>
                <w:szCs w:val="13"/>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(41,269)</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(11,768)</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investing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Acquisition of property and equipment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(9,825)</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Payments for purchase of fixed maturity securities,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240"/>
              <w:spacing w:after="0" w:line="149" w:lineRule="exact"/>
              <w:rPr>
                <w:sz w:val="20"/>
                <w:szCs w:val="20"/>
                <w:color w:val="auto"/>
              </w:rPr>
            </w:pPr>
            <w:r>
              <w:rPr>
                <w:rFonts w:ascii="Arial" w:cs="Arial" w:eastAsia="Arial" w:hAnsi="Arial"/>
                <w:sz w:val="13"/>
                <w:szCs w:val="13"/>
                <w:color w:val="auto"/>
              </w:rPr>
              <w:t>available for sale</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(49,860)</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(41,540)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Asset acquisition, net of cash acquired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Sale of fixed maturity securities, 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41,650</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(22,757)</w:t>
            </w: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(19,007)</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financing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long-term debt and warrants, net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9,734</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39" w:lineRule="exact"/>
              <w:rPr>
                <w:sz w:val="20"/>
                <w:szCs w:val="20"/>
                <w:color w:val="auto"/>
              </w:rPr>
            </w:pPr>
            <w:r>
              <w:rPr>
                <w:rFonts w:ascii="Arial" w:cs="Arial" w:eastAsia="Arial" w:hAnsi="Arial"/>
                <w:sz w:val="13"/>
                <w:szCs w:val="13"/>
                <w:color w:val="auto"/>
              </w:rPr>
              <w:t>Payments of deferred financing cost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(144)</w:t>
            </w:r>
          </w:p>
        </w:tc>
        <w:tc>
          <w:tcPr>
            <w:tcW w:w="8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subscription receivable</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38,100</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120"/>
              <w:spacing w:after="0" w:line="139" w:lineRule="exact"/>
              <w:rPr>
                <w:sz w:val="20"/>
                <w:szCs w:val="20"/>
                <w:color w:val="auto"/>
              </w:rPr>
            </w:pPr>
            <w:r>
              <w:rPr>
                <w:rFonts w:ascii="Arial" w:cs="Arial" w:eastAsia="Arial" w:hAnsi="Arial"/>
                <w:sz w:val="13"/>
                <w:szCs w:val="13"/>
                <w:color w:val="auto"/>
              </w:rPr>
              <w:t>Proceeds from issuance of common units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74,839</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0" w:lineRule="exact"/>
              <w:rPr>
                <w:sz w:val="20"/>
                <w:szCs w:val="20"/>
                <w:color w:val="auto"/>
              </w:rPr>
            </w:pPr>
            <w:r>
              <w:rPr>
                <w:rFonts w:ascii="Arial" w:cs="Arial" w:eastAsia="Arial" w:hAnsi="Arial"/>
                <w:sz w:val="13"/>
                <w:szCs w:val="13"/>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6"/>
              <w:spacing w:after="0" w:line="130" w:lineRule="exact"/>
              <w:rPr>
                <w:sz w:val="20"/>
                <w:szCs w:val="20"/>
                <w:color w:val="auto"/>
              </w:rPr>
            </w:pPr>
            <w:r>
              <w:rPr>
                <w:rFonts w:ascii="Arial" w:cs="Arial" w:eastAsia="Arial" w:hAnsi="Arial"/>
                <w:sz w:val="13"/>
                <w:szCs w:val="13"/>
                <w:b w:val="1"/>
                <w:bCs w:val="1"/>
                <w:color w:val="auto"/>
              </w:rPr>
              <w:t>47,690</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74,839</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ind w:left="380"/>
              <w:spacing w:after="0" w:line="126" w:lineRule="exact"/>
              <w:rPr>
                <w:sz w:val="20"/>
                <w:szCs w:val="20"/>
                <w:color w:val="auto"/>
              </w:rPr>
            </w:pPr>
            <w:r>
              <w:rPr>
                <w:rFonts w:ascii="Arial" w:cs="Arial" w:eastAsia="Arial" w:hAnsi="Arial"/>
                <w:sz w:val="13"/>
                <w:szCs w:val="13"/>
                <w:b w:val="1"/>
                <w:bCs w:val="1"/>
                <w:color w:val="auto"/>
              </w:rPr>
              <w:t>Net (decrease) increase in cash, cash</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500"/>
              <w:spacing w:after="0"/>
              <w:rPr>
                <w:sz w:val="20"/>
                <w:szCs w:val="20"/>
                <w:color w:val="auto"/>
              </w:rPr>
            </w:pPr>
            <w:r>
              <w:rPr>
                <w:rFonts w:ascii="Arial" w:cs="Arial" w:eastAsia="Arial" w:hAnsi="Arial"/>
                <w:sz w:val="13"/>
                <w:szCs w:val="13"/>
                <w:b w:val="1"/>
                <w:bCs w:val="1"/>
                <w:color w:val="auto"/>
              </w:rPr>
              <w:t>equivalents, and restricted cash</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(16,336)</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(5,227)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44,064</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of period</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line="126"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27,728</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26,197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ind w:left="120"/>
              <w:spacing w:after="0" w:line="113" w:lineRule="exact"/>
              <w:rPr>
                <w:sz w:val="20"/>
                <w:szCs w:val="20"/>
                <w:color w:val="auto"/>
              </w:rPr>
            </w:pPr>
            <w:r>
              <w:rPr>
                <w:rFonts w:ascii="Arial" w:cs="Arial" w:eastAsia="Arial" w:hAnsi="Arial"/>
                <w:sz w:val="13"/>
                <w:szCs w:val="13"/>
                <w:b w:val="1"/>
                <w:bCs w:val="1"/>
                <w:color w:val="auto"/>
              </w:rPr>
              <w:t>period</w:t>
            </w: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cash and non-cash</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19" w:lineRule="exact"/>
              <w:rPr>
                <w:sz w:val="20"/>
                <w:szCs w:val="20"/>
                <w:color w:val="auto"/>
              </w:rPr>
            </w:pPr>
            <w:r>
              <w:rPr>
                <w:rFonts w:ascii="Arial" w:cs="Arial" w:eastAsia="Arial" w:hAnsi="Arial"/>
                <w:sz w:val="13"/>
                <w:szCs w:val="13"/>
                <w:color w:val="auto"/>
              </w:rPr>
              <w:t>Cash paid for interest</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207</w:t>
            </w:r>
          </w:p>
        </w:tc>
        <w:tc>
          <w:tcPr>
            <w:tcW w:w="88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non-cash investing</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and financing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Issuance of common units in exchange for asset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ind w:left="240"/>
              <w:spacing w:after="0" w:line="96" w:lineRule="exact"/>
              <w:rPr>
                <w:sz w:val="20"/>
                <w:szCs w:val="20"/>
                <w:color w:val="auto"/>
              </w:rPr>
            </w:pPr>
            <w:r>
              <w:rPr>
                <w:rFonts w:ascii="Arial" w:cs="Arial" w:eastAsia="Arial" w:hAnsi="Arial"/>
                <w:sz w:val="11"/>
                <w:szCs w:val="11"/>
                <w:color w:val="auto"/>
              </w:rPr>
              <w:t>acquisition</w:t>
            </w:r>
          </w:p>
        </w:tc>
        <w:tc>
          <w:tcPr>
            <w:tcW w:w="8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326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Purchase of property and equipment, accrued and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4,472</w:t>
            </w: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unpaid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-1577340</wp:posOffset>
            </wp:positionV>
            <wp:extent cx="209423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-2120900</wp:posOffset>
            </wp:positionV>
            <wp:extent cx="209423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-2760345</wp:posOffset>
            </wp:positionV>
            <wp:extent cx="20942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94230" cy="6985"/>
                    </a:xfrm>
                    <a:prstGeom prst="rect">
                      <a:avLst/>
                    </a:prstGeom>
                    <a:noFill/>
                  </pic:spPr>
                </pic:pic>
              </a:graphicData>
            </a:graphic>
          </wp:anchor>
        </w:drawing>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December 31, 2020 and 2019</w:t>
      </w:r>
    </w:p>
    <w:p>
      <w:pPr>
        <w:spacing w:after="0" w:line="1" w:lineRule="exact"/>
        <w:rPr>
          <w:sz w:val="20"/>
          <w:szCs w:val="20"/>
          <w:color w:val="auto"/>
        </w:rPr>
      </w:pPr>
    </w:p>
    <w:p>
      <w:pPr>
        <w:ind w:left="1240" w:right="2379"/>
        <w:spacing w:after="0" w:line="231" w:lineRule="auto"/>
        <w:rPr>
          <w:sz w:val="20"/>
          <w:szCs w:val="20"/>
          <w:color w:val="auto"/>
        </w:rPr>
      </w:pPr>
      <w:r>
        <w:rPr>
          <w:rFonts w:ascii="Arial" w:cs="Arial" w:eastAsia="Arial" w:hAnsi="Arial"/>
          <w:sz w:val="23"/>
          <w:szCs w:val="23"/>
          <w:b w:val="1"/>
          <w:bCs w:val="1"/>
          <w:color w:val="auto"/>
        </w:rPr>
        <w:t>(In thousands, except unit, share and per share amounts)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jc w:val="both"/>
        <w:ind w:left="1240" w:right="1519"/>
        <w:spacing w:after="0" w:line="263" w:lineRule="auto"/>
        <w:rPr>
          <w:sz w:val="20"/>
          <w:szCs w:val="20"/>
          <w:color w:val="auto"/>
        </w:rPr>
      </w:pPr>
      <w:r>
        <w:rPr>
          <w:rFonts w:ascii="Arial" w:cs="Arial" w:eastAsia="Arial" w:hAnsi="Arial"/>
          <w:sz w:val="14"/>
          <w:szCs w:val="14"/>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285" w:lineRule="exact"/>
        <w:rPr>
          <w:sz w:val="20"/>
          <w:szCs w:val="20"/>
          <w:color w:val="auto"/>
        </w:rPr>
      </w:pPr>
    </w:p>
    <w:p>
      <w:pPr>
        <w:ind w:left="1240" w:right="1539"/>
        <w:spacing w:after="0" w:line="258" w:lineRule="auto"/>
        <w:rPr>
          <w:sz w:val="20"/>
          <w:szCs w:val="20"/>
          <w:color w:val="auto"/>
        </w:rPr>
      </w:pPr>
      <w:r>
        <w:rPr>
          <w:rFonts w:ascii="Arial" w:cs="Arial" w:eastAsia="Arial" w:hAnsi="Arial"/>
          <w:sz w:val="14"/>
          <w:szCs w:val="14"/>
          <w:color w:val="auto"/>
        </w:rPr>
        <w:t>As discussed in Note 17,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97"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9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The Company’s headquarters are located in Philadelphia, Pennsylvania. Prior to the conversion of the Company from an LLC to a Delaware corporation noted above, the Company’s capital structure was comprised of common limited liability membership interests, issued in the form of a single class of common units, with no stated limit to a members’ liability or a finite life to the Company.</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2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06"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period January 1, 2019 through June 20, 2019, Prior Century incurred a net loss of $6,002 and used $4,400 of 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$74,839 were received in June 2019,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23"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3"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44" w:lineRule="exact"/>
        <w:rPr>
          <w:sz w:val="20"/>
          <w:szCs w:val="20"/>
          <w:color w:val="auto"/>
        </w:rPr>
      </w:pPr>
    </w:p>
    <w:p>
      <w:pPr>
        <w:ind w:left="1240" w:right="1319"/>
        <w:spacing w:after="0" w:line="290"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at the beginning of the successor period, June 21, 2019. See Note 10 for further information on the Company’s capital restructuring.</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44"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3" w:lineRule="exact"/>
        <w:rPr>
          <w:sz w:val="20"/>
          <w:szCs w:val="20"/>
          <w:color w:val="auto"/>
        </w:rPr>
      </w:pPr>
    </w:p>
    <w:p>
      <w:pPr>
        <w:ind w:left="1240" w:right="1459"/>
        <w:spacing w:after="0" w:line="292"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2020 and 2019, the Company has not experienced any losses on its deposits of cash and cash equivalents.</w:t>
      </w:r>
    </w:p>
    <w:p>
      <w:pPr>
        <w:spacing w:after="0" w:line="289"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6"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44"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639"/>
        <w:spacing w:after="0" w:line="270" w:lineRule="auto"/>
        <w:rPr>
          <w:sz w:val="20"/>
          <w:szCs w:val="20"/>
          <w:color w:val="auto"/>
        </w:rPr>
      </w:pPr>
      <w:r>
        <w:rPr>
          <w:rFonts w:ascii="Arial" w:cs="Arial" w:eastAsia="Arial" w:hAnsi="Arial"/>
          <w:sz w:val="14"/>
          <w:szCs w:val="14"/>
          <w:color w:val="auto"/>
        </w:rPr>
        <w:t>valuations based upon unobservable inputs that are significant to the valuation (Level 3 measurements). The guidance establishes three levels of the fair value hierarchy as follows:</w:t>
      </w:r>
    </w:p>
    <w:p>
      <w:pPr>
        <w:spacing w:after="0" w:line="88" w:lineRule="exact"/>
        <w:rPr>
          <w:sz w:val="20"/>
          <w:szCs w:val="20"/>
          <w:color w:val="auto"/>
        </w:rPr>
      </w:pPr>
    </w:p>
    <w:p>
      <w:pPr>
        <w:ind w:left="1940" w:right="1559" w:hanging="684"/>
        <w:spacing w:after="0" w:line="286" w:lineRule="auto"/>
        <w:tabs>
          <w:tab w:leader="none" w:pos="1920" w:val="left"/>
        </w:tabs>
        <w:rPr>
          <w:sz w:val="20"/>
          <w:szCs w:val="20"/>
          <w:color w:val="auto"/>
        </w:rPr>
      </w:pPr>
      <w:r>
        <w:rPr>
          <w:rFonts w:ascii="Arial" w:cs="Arial" w:eastAsia="Arial" w:hAnsi="Arial"/>
          <w:sz w:val="14"/>
          <w:szCs w:val="14"/>
          <w:color w:val="auto"/>
        </w:rPr>
        <w:t>Level 1</w:t>
        <w:tab/>
        <w:t>Inputs that reflect unadjusted quoted prices in active markets for identical assets or liabilities that the Company has the ability to access at the measurement date;</w:t>
      </w:r>
    </w:p>
    <w:p>
      <w:pPr>
        <w:spacing w:after="0" w:line="87" w:lineRule="exact"/>
        <w:rPr>
          <w:sz w:val="20"/>
          <w:szCs w:val="20"/>
          <w:color w:val="auto"/>
        </w:rPr>
      </w:pPr>
    </w:p>
    <w:p>
      <w:pPr>
        <w:ind w:left="1940" w:right="1499" w:hanging="684"/>
        <w:spacing w:after="0" w:line="286" w:lineRule="auto"/>
        <w:tabs>
          <w:tab w:leader="none" w:pos="1920" w:val="left"/>
        </w:tabs>
        <w:rPr>
          <w:sz w:val="20"/>
          <w:szCs w:val="20"/>
          <w:color w:val="auto"/>
        </w:rPr>
      </w:pPr>
      <w:r>
        <w:rPr>
          <w:rFonts w:ascii="Arial" w:cs="Arial" w:eastAsia="Arial" w:hAnsi="Arial"/>
          <w:sz w:val="14"/>
          <w:szCs w:val="14"/>
          <w:color w:val="auto"/>
        </w:rPr>
        <w:t>Level 2</w:t>
        <w:tab/>
        <w:t>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940" w:right="1639" w:hanging="684"/>
        <w:spacing w:after="0" w:line="286" w:lineRule="auto"/>
        <w:tabs>
          <w:tab w:leader="none" w:pos="1920" w:val="left"/>
        </w:tabs>
        <w:rPr>
          <w:sz w:val="20"/>
          <w:szCs w:val="20"/>
          <w:color w:val="auto"/>
        </w:rPr>
      </w:pPr>
      <w:r>
        <w:rPr>
          <w:rFonts w:ascii="Arial" w:cs="Arial" w:eastAsia="Arial" w:hAnsi="Arial"/>
          <w:sz w:val="14"/>
          <w:szCs w:val="14"/>
          <w:color w:val="auto"/>
        </w:rPr>
        <w:t>Level 3</w:t>
        <w:tab/>
        <w:t>Inputs are unobservable in which there is little or no market data available, which require the reporting entity to develop its own assumptions that are unobservable.</w:t>
      </w:r>
    </w:p>
    <w:p>
      <w:pPr>
        <w:spacing w:after="0" w:line="7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01" w:lineRule="exact"/>
        <w:rPr>
          <w:sz w:val="20"/>
          <w:szCs w:val="20"/>
          <w:color w:val="auto"/>
        </w:rPr>
      </w:pPr>
    </w:p>
    <w:p>
      <w:pPr>
        <w:jc w:val="both"/>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12"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As of December 31, 2020, the Company has $517 in cash on deposit to secure certain lease commitments. Restricted cash is recorded separately in the Company’s consolidated balance sheets.</w:t>
      </w:r>
    </w:p>
    <w:p>
      <w:pPr>
        <w:spacing w:after="0" w:line="92"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92710</wp:posOffset>
            </wp:positionV>
            <wp:extent cx="4134485"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Successor</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84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r>
      <w:tr>
        <w:trPr>
          <w:trHeight w:val="164"/>
        </w:trPr>
        <w:tc>
          <w:tcPr>
            <w:tcW w:w="20" w:type="dxa"/>
            <w:vAlign w:val="bottom"/>
          </w:tcPr>
          <w:p>
            <w:pPr>
              <w:spacing w:after="0"/>
              <w:rPr>
                <w:sz w:val="14"/>
                <w:szCs w:val="14"/>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181"/>
        </w:trPr>
        <w:tc>
          <w:tcPr>
            <w:tcW w:w="38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517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$ 27,728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-400685</wp:posOffset>
            </wp:positionV>
            <wp:extent cx="244157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10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0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01"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659"/>
        <w:spacing w:after="0" w:line="259"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56" w:lineRule="auto"/>
        <w:tabs>
          <w:tab w:leader="none" w:pos="149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274" w:lineRule="exact"/>
        <w:rPr>
          <w:sz w:val="20"/>
          <w:szCs w:val="20"/>
          <w:color w:val="auto"/>
        </w:rPr>
      </w:pPr>
    </w:p>
    <w:p>
      <w:pPr>
        <w:ind w:left="1240" w:right="1379"/>
        <w:spacing w:after="0" w:line="256" w:lineRule="auto"/>
        <w:rPr>
          <w:sz w:val="20"/>
          <w:szCs w:val="20"/>
          <w:color w:val="auto"/>
        </w:rPr>
      </w:pPr>
      <w:r>
        <w:rPr>
          <w:rFonts w:ascii="Arial" w:cs="Arial" w:eastAsia="Arial" w:hAnsi="Arial"/>
          <w:sz w:val="14"/>
          <w:szCs w:val="14"/>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599"/>
        <w:spacing w:after="0" w:line="263" w:lineRule="auto"/>
        <w:rPr>
          <w:sz w:val="20"/>
          <w:szCs w:val="20"/>
          <w:color w:val="auto"/>
        </w:rPr>
      </w:pPr>
      <w:r>
        <w:rPr>
          <w:rFonts w:ascii="Arial" w:cs="Arial" w:eastAsia="Arial" w:hAnsi="Arial"/>
          <w:sz w:val="14"/>
          <w:szCs w:val="14"/>
          <w:color w:val="auto"/>
        </w:rPr>
        <w:t>The Company has issued warrants that have been recognized as equity, and the fair value is recorded into additional paid-in capital in the accompanying consolidated balance sheets. Warrants are accounted for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 xml:space="preserve">accordance with applicable accounting guidance provided in ASC Topic 815, </w:t>
      </w:r>
      <w:r>
        <w:rPr>
          <w:rFonts w:ascii="Arial" w:cs="Arial" w:eastAsia="Arial" w:hAnsi="Arial"/>
          <w:sz w:val="14"/>
          <w:szCs w:val="14"/>
          <w:i w:val="1"/>
          <w:iCs w:val="1"/>
          <w:color w:val="auto"/>
        </w:rPr>
        <w:t>Derivatives and</w:t>
      </w:r>
      <w:r>
        <w:rPr>
          <w:rFonts w:ascii="Arial" w:cs="Arial" w:eastAsia="Arial" w:hAnsi="Arial"/>
          <w:sz w:val="14"/>
          <w:szCs w:val="14"/>
          <w:color w:val="auto"/>
        </w:rPr>
        <w:t xml:space="preserve"> </w:t>
      </w:r>
      <w:r>
        <w:rPr>
          <w:rFonts w:ascii="Arial" w:cs="Arial" w:eastAsia="Arial" w:hAnsi="Arial"/>
          <w:sz w:val="14"/>
          <w:szCs w:val="14"/>
          <w:i w:val="1"/>
          <w:iCs w:val="1"/>
          <w:color w:val="auto"/>
        </w:rPr>
        <w:t>Hedging—Contracts in Entity’s Own Equity</w:t>
      </w:r>
      <w:r>
        <w:rPr>
          <w:rFonts w:ascii="Arial" w:cs="Arial" w:eastAsia="Arial" w:hAnsi="Arial"/>
          <w:sz w:val="14"/>
          <w:szCs w:val="14"/>
          <w:color w:val="auto"/>
        </w:rPr>
        <w:t>, as either derivative liabilities or as equity instruments</w:t>
      </w:r>
      <w:r>
        <w:rPr>
          <w:rFonts w:ascii="Arial" w:cs="Arial" w:eastAsia="Arial" w:hAnsi="Arial"/>
          <w:sz w:val="14"/>
          <w:szCs w:val="14"/>
          <w:i w:val="1"/>
          <w:iCs w:val="1"/>
          <w:color w:val="auto"/>
        </w:rPr>
        <w:t xml:space="preserve"> </w:t>
      </w:r>
      <w:r>
        <w:rPr>
          <w:rFonts w:ascii="Arial" w:cs="Arial" w:eastAsia="Arial" w:hAnsi="Arial"/>
          <w:sz w:val="14"/>
          <w:szCs w:val="14"/>
          <w:color w:val="auto"/>
        </w:rPr>
        <w:t>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Non-cumulative convertible preferred stock</w:t>
      </w:r>
    </w:p>
    <w:p>
      <w:pPr>
        <w:spacing w:after="0" w:line="133"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The Company’s non-cumulative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non-cumulative convertible preferred stock to its redemption value until it is probable that the security will become redeemable.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44"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Our basic and diluted net loss per common share is calculated by dividing the net loss by the weighted average number of shares of common shares outstanding during the periods presented. Stock options, restricted stock, stock purchase warrants and preferred stock are included in the diluted earnings per share calculations, unless the effects are anti-dilutive.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44"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8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Company was organized as a limited liability company until February 25, 2021, which is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considered a passthrough entity for federal and state income tax purposes. As such, any taxable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income or loss realized by the Company is allocated to the Members’ in accordance with their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respective membership interest and reported on their individual tax returns. Therefore, no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provisions or liability for income taxes is necessary in the accompanying consolidated financial</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statements. Prior Century was a C-Corporation in the predecessor period and had losses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$6,002 and a full valuation allowance as realization of the related tax benefits was not more likely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than not.</w:t>
      </w:r>
    </w:p>
    <w:p>
      <w:pPr>
        <w:spacing w:after="0" w:line="139"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11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In February 2016, the FASB issued ASU 2016-02 Leases (ASC 842).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12 months commenced prior to January 1, 2020. For the Successor period ended December 31,</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2020, the initial ROU asset and lease liability recognized was $9,735.</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31"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ASU 2018-13, effective January 1, 2021, which did not have a material effect on the Company’s consolidated financial statements.</w:t>
      </w:r>
    </w:p>
    <w:p>
      <w:pPr>
        <w:spacing w:after="0" w:line="289"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277"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2020, the FASB issued ASU No. 2020-08, Codification Improvements to Subtopic 310-20, Receivables—Nonrefundable Fees and Other Costs (“ASU 2020-08”),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44"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94"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10"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87630</wp:posOffset>
            </wp:positionV>
            <wp:extent cx="4134485"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7787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allogeneic cell therapy platform. As the IPR&amp;D asset has no alternative future use to the Company, the Company charged $225,946 to expense within its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The valuation of the equity interests issued to Prior Century was based on an assessment of the total purchase consideration implied by the transaction between Bayer and the Company at the formation of the Company for Bayer’s 28% equity interest. In determining the implied fair value of the Company, the Company first determined whether Bayer received anything incremental to its 28% equity interest in the Company and considered that Bayer received a disproportionate tax benefit given their allocation of 100 percent of the tax losses of the Company until Bayer’s tax basis in the Company is equal to their ownership interest in the equity of the Company, per the terms of the LLC operating agreement. Given this benefit, the Company estimated the fair value of these additional tax savings over the expected period Bayer would receive this disproportionate benefit. After adjusting for the tax benefits Bayer receives, an implied fair value for the Company was estimated at the date the Company was formed which was used to value the equity interests issued to Prior Century.</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December 31, 2020 or 2019. Tranche 2 was eliminated in connection with the Series C preferred financing. See Note 17.</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01"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Management determined that Prior Century did not retain control of the Company as Prior Century did not have the power to direct the activities of the Company that would most significantly impact its economic performance as a result of the rights provided to Bayer. These rights included, but weren’t limited to, (1) approval rights over the Company’s initial business plan and budget, including the need for the Company to obtain consent from both Bayer and Prior Century to alter the budget prospectively by more than 20 percent. This had the effect of requiring both Bayer and Prior Century to approve the Company’s research and development plan, as the allocation of funds to the research and development plan are determined within the Company’s operating budget. This also included the decision-making around the FCDI collaboration agreement (Note 16) within the research plan; (2) approval rights over hiring and termination decisions of the Company’s Chief Executive Officer, which required consent from both Bayer and Prior Century; and (3) approval rights over equity and debt capital raising decisions. In the event of a disagreement over these decisions, independent mediation is required, providing no tie-breaking authority to Bayer or Prior Century. For the foregoing reasons, Prior Century determined it did not retain control of the Company.</w:t>
      </w:r>
    </w:p>
    <w:p>
      <w:pPr>
        <w:spacing w:after="0" w:line="273"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members’ equity until received from Bayer.</w:t>
      </w:r>
    </w:p>
    <w:p>
      <w:pPr>
        <w:spacing w:after="0" w:line="9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2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December 31, 2020, accrued compensation expense on the promissory note was $282, which is presented within accrued expenses and other liabilities on the consolidated balance sheets.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56362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97"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659"/>
        <w:spacing w:after="0" w:line="286"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$42,010</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7,612</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$49,622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$83,565</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5"/>
                <w:szCs w:val="15"/>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2019:</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7,612</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33,946</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33,943</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41,558</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3"/>
                <w:szCs w:val="13"/>
                <w:b w:val="1"/>
                <w:bCs w:val="1"/>
                <w:color w:val="auto"/>
              </w:rPr>
              <w:t>Successor</w:t>
            </w:r>
          </w:p>
        </w:tc>
        <w:tc>
          <w:tcPr>
            <w:tcW w:w="5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100" w:type="dxa"/>
            <w:vAlign w:val="bottom"/>
            <w:gridSpan w:val="2"/>
          </w:tcPr>
          <w:p>
            <w:pPr>
              <w:jc w:val="right"/>
              <w:ind w:right="71"/>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48,542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37,475</w:t>
            </w: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52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4,080</w:t>
            </w:r>
          </w:p>
        </w:tc>
      </w:tr>
      <w:tr>
        <w:trPr>
          <w:trHeight w:val="22"/>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1"/>
                <w:szCs w:val="11"/>
                <w:color w:val="auto"/>
              </w:rPr>
            </w:pPr>
          </w:p>
        </w:tc>
      </w:tr>
      <w:tr>
        <w:trPr>
          <w:trHeight w:val="178"/>
        </w:trPr>
        <w:tc>
          <w:tcPr>
            <w:tcW w:w="100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0" w:type="dxa"/>
            <w:vAlign w:val="bottom"/>
          </w:tcPr>
          <w:p>
            <w:pPr>
              <w:spacing w:after="0"/>
              <w:rPr>
                <w:sz w:val="14"/>
                <w:szCs w:val="14"/>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196</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receivables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908</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0" w:type="dxa"/>
            <w:vAlign w:val="bottom"/>
          </w:tcPr>
          <w:p>
            <w:pPr>
              <w:spacing w:after="0"/>
              <w:rPr>
                <w:sz w:val="15"/>
                <w:szCs w:val="15"/>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0" w:type="dxa"/>
            <w:vAlign w:val="bottom"/>
          </w:tcPr>
          <w:p>
            <w:pPr>
              <w:spacing w:after="0"/>
              <w:rPr>
                <w:sz w:val="16"/>
                <w:szCs w:val="16"/>
                <w:color w:val="auto"/>
              </w:rPr>
            </w:pPr>
          </w:p>
        </w:tc>
      </w:tr>
      <w:tr>
        <w:trPr>
          <w:trHeight w:val="168"/>
        </w:trPr>
        <w:tc>
          <w:tcPr>
            <w:tcW w:w="10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2,261</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2,583</w:t>
            </w:r>
          </w:p>
        </w:tc>
        <w:tc>
          <w:tcPr>
            <w:tcW w:w="1000" w:type="dxa"/>
            <w:vAlign w:val="bottom"/>
          </w:tcPr>
          <w:p>
            <w:pPr>
              <w:spacing w:after="0"/>
              <w:rPr>
                <w:sz w:val="14"/>
                <w:szCs w:val="14"/>
                <w:color w:val="auto"/>
              </w:rPr>
            </w:pPr>
          </w:p>
        </w:tc>
      </w:tr>
      <w:tr>
        <w:trPr>
          <w:trHeight w:val="32"/>
        </w:trPr>
        <w:tc>
          <w:tcPr>
            <w:tcW w:w="10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4440" w:type="dxa"/>
            <w:vAlign w:val="bottom"/>
          </w:tcPr>
          <w:p>
            <w:pPr>
              <w:ind w:left="3080"/>
              <w:spacing w:after="0"/>
              <w:rPr>
                <w:sz w:val="20"/>
                <w:szCs w:val="20"/>
                <w:color w:val="auto"/>
              </w:rPr>
            </w:pPr>
            <w:r>
              <w:rPr>
                <w:rFonts w:ascii="Arial" w:cs="Arial" w:eastAsia="Arial" w:hAnsi="Arial"/>
                <w:sz w:val="14"/>
                <w:szCs w:val="14"/>
                <w:color w:val="auto"/>
              </w:rPr>
              <w:t>F-17</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80" w:type="dxa"/>
            <w:vAlign w:val="bottom"/>
            <w:gridSpan w:val="2"/>
          </w:tcPr>
          <w:p>
            <w:pPr>
              <w:jc w:val="right"/>
              <w:ind w:right="70"/>
              <w:spacing w:after="0" w:line="136"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8,941</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40" w:type="dxa"/>
            <w:vAlign w:val="bottom"/>
          </w:tcPr>
          <w:p>
            <w:pPr>
              <w:spacing w:after="0"/>
              <w:rPr>
                <w:sz w:val="14"/>
                <w:szCs w:val="14"/>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1,964</w:t>
            </w: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5"/>
                <w:szCs w:val="15"/>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5,771</w:t>
            </w: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214</w:t>
            </w:r>
          </w:p>
        </w:tc>
        <w:tc>
          <w:tcPr>
            <w:tcW w:w="58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16,966</w:t>
            </w: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2,667</w:t>
            </w:r>
          </w:p>
        </w:tc>
        <w:tc>
          <w:tcPr>
            <w:tcW w:w="40" w:type="dxa"/>
            <w:vAlign w:val="bottom"/>
          </w:tcPr>
          <w:p>
            <w:pPr>
              <w:spacing w:after="0"/>
              <w:rPr>
                <w:sz w:val="14"/>
                <w:szCs w:val="14"/>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15,385</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jc w:val="both"/>
        <w:ind w:left="1240" w:right="1359"/>
        <w:spacing w:after="0" w:line="263" w:lineRule="auto"/>
        <w:rPr>
          <w:sz w:val="20"/>
          <w:szCs w:val="20"/>
          <w:color w:val="auto"/>
        </w:rPr>
      </w:pPr>
      <w:r>
        <w:rPr>
          <w:rFonts w:ascii="Arial" w:cs="Arial" w:eastAsia="Arial" w:hAnsi="Arial"/>
          <w:sz w:val="14"/>
          <w:szCs w:val="14"/>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524</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4,030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Principal</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522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8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5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Long-term debt, net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90" w:lineRule="auto"/>
        <w:rPr>
          <w:sz w:val="20"/>
          <w:szCs w:val="20"/>
          <w:color w:val="auto"/>
        </w:rPr>
      </w:pPr>
      <w:r>
        <w:rPr>
          <w:rFonts w:ascii="Arial" w:cs="Arial" w:eastAsia="Arial" w:hAnsi="Arial"/>
          <w:sz w:val="14"/>
          <w:szCs w:val="14"/>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December 31, 2020 was 9.55%.</w:t>
      </w:r>
    </w:p>
    <w:p>
      <w:pPr>
        <w:spacing w:after="0" w:line="286"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96" w:lineRule="exact"/>
        <w:rPr>
          <w:sz w:val="20"/>
          <w:szCs w:val="20"/>
          <w:color w:val="auto"/>
        </w:rPr>
      </w:pPr>
    </w:p>
    <w:p>
      <w:pPr>
        <w:ind w:left="1240" w:right="1559"/>
        <w:spacing w:after="0" w:line="302"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The Company issued to Hercules warrants to purchase up to an aggregate of 16,112 Units of the Company’s limited liability membership interests, issued in the form of common units.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9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$ 289</w:t>
            </w:r>
          </w:p>
        </w:tc>
      </w:tr>
      <w:tr>
        <w:trPr>
          <w:trHeight w:val="187"/>
        </w:trPr>
        <w:tc>
          <w:tcPr>
            <w:tcW w:w="5180" w:type="dxa"/>
            <w:vAlign w:val="bottom"/>
            <w:gridSpan w:val="2"/>
          </w:tcPr>
          <w:p>
            <w:pPr>
              <w:spacing w:after="0"/>
              <w:rPr>
                <w:sz w:val="20"/>
                <w:szCs w:val="20"/>
                <w:color w:val="auto"/>
              </w:rPr>
            </w:pPr>
            <w:r>
              <w:rPr>
                <w:rFonts w:ascii="Arial" w:cs="Arial" w:eastAsia="Arial" w:hAnsi="Arial"/>
                <w:sz w:val="14"/>
                <w:szCs w:val="14"/>
                <w:color w:val="auto"/>
              </w:rPr>
              <w:t>Amortization of debt issuance costs, including end of term fee accretion</w:t>
            </w:r>
          </w:p>
        </w:tc>
        <w:tc>
          <w:tcPr>
            <w:tcW w:w="13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20" w:type="dxa"/>
            <w:vAlign w:val="bottom"/>
          </w:tcPr>
          <w:p>
            <w:pPr>
              <w:spacing w:after="0"/>
              <w:rPr>
                <w:sz w:val="15"/>
                <w:szCs w:val="15"/>
                <w:color w:val="auto"/>
              </w:rPr>
            </w:pPr>
          </w:p>
        </w:tc>
        <w:tc>
          <w:tcPr>
            <w:tcW w:w="5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$ 381</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8422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84220" cy="6985"/>
                    </a:xfrm>
                    <a:prstGeom prst="rect">
                      <a:avLst/>
                    </a:prstGeom>
                    <a:noFill/>
                  </pic:spPr>
                </pic:pic>
              </a:graphicData>
            </a:graphic>
          </wp:anchor>
        </w:drawing>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Included in accrued expenses in the accompanying consolidated balance sheet as of</w:t>
      </w:r>
    </w:p>
    <w:p>
      <w:pPr>
        <w:spacing w:after="0" w:line="21" w:lineRule="exact"/>
        <w:rPr>
          <w:sz w:val="20"/>
          <w:szCs w:val="20"/>
          <w:color w:val="auto"/>
        </w:rPr>
      </w:pPr>
    </w:p>
    <w:p>
      <w:pPr>
        <w:jc w:val="both"/>
        <w:ind w:left="1240" w:right="1259"/>
        <w:spacing w:after="0" w:line="263" w:lineRule="auto"/>
        <w:rPr>
          <w:sz w:val="20"/>
          <w:szCs w:val="20"/>
          <w:color w:val="auto"/>
        </w:rPr>
      </w:pPr>
      <w:r>
        <w:rPr>
          <w:rFonts w:ascii="Arial" w:cs="Arial" w:eastAsia="Arial" w:hAnsi="Arial"/>
          <w:sz w:val="14"/>
          <w:szCs w:val="14"/>
          <w:color w:val="auto"/>
        </w:rPr>
        <w:t>December 31, 2020 is $82 of accrued interest. There was no accrued interest as of December 31, 2019.</w:t>
      </w:r>
    </w:p>
    <w:p>
      <w:pPr>
        <w:spacing w:after="0" w:line="295"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780" w:type="dxa"/>
            <w:vAlign w:val="bottom"/>
            <w:gridSpan w:val="2"/>
            <w:shd w:val="clear" w:color="auto" w:fill="CCEEFF"/>
          </w:tcPr>
          <w:p>
            <w:pPr>
              <w:ind w:left="36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2022</w:t>
            </w: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3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c>
          <w:tcPr>
            <w:tcW w:w="1000" w:type="dxa"/>
            <w:vAlign w:val="bottom"/>
          </w:tcPr>
          <w:p>
            <w:pPr>
              <w:spacing w:after="0"/>
              <w:rPr>
                <w:sz w:val="14"/>
                <w:szCs w:val="14"/>
                <w:color w:val="auto"/>
              </w:rPr>
            </w:pPr>
          </w:p>
        </w:tc>
      </w:tr>
      <w:tr>
        <w:trPr>
          <w:trHeight w:val="190"/>
        </w:trPr>
        <w:tc>
          <w:tcPr>
            <w:tcW w:w="1000" w:type="dxa"/>
            <w:vAlign w:val="bottom"/>
          </w:tcPr>
          <w:p>
            <w:pPr>
              <w:spacing w:after="0"/>
              <w:rPr>
                <w:sz w:val="16"/>
                <w:szCs w:val="16"/>
                <w:color w:val="auto"/>
              </w:rPr>
            </w:pPr>
          </w:p>
        </w:tc>
        <w:tc>
          <w:tcPr>
            <w:tcW w:w="22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Total future payments</w:t>
            </w:r>
          </w:p>
        </w:tc>
        <w:tc>
          <w:tcPr>
            <w:tcW w:w="35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2"/>
          </w:tcPr>
          <w:p>
            <w:pPr>
              <w:ind w:left="840"/>
              <w:spacing w:after="0"/>
              <w:rPr>
                <w:sz w:val="20"/>
                <w:szCs w:val="20"/>
                <w:color w:val="auto"/>
              </w:rPr>
            </w:pPr>
            <w:r>
              <w:rPr>
                <w:rFonts w:ascii="Arial" w:cs="Arial" w:eastAsia="Arial" w:hAnsi="Arial"/>
                <w:sz w:val="14"/>
                <w:szCs w:val="14"/>
                <w:color w:val="auto"/>
              </w:rPr>
              <w:t>F-19</w:t>
            </w:r>
          </w:p>
        </w:tc>
        <w:tc>
          <w:tcPr>
            <w:tcW w:w="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-679450</wp:posOffset>
            </wp:positionV>
            <wp:extent cx="367220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67220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Deficit</w:t>
      </w:r>
    </w:p>
    <w:p>
      <w:pPr>
        <w:spacing w:after="0" w:line="129"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The Company’s capital structure was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For the Predecessor period January 1, 2019 through June 20, 2019, the Prior Century had 35,000,000 of Series A Preferred Stock and Series A-1 Preferred Stock (“Preferred Stock”), with a par value of $0.0001 per share, issued and outstanding. Prior Century had 5,984,848 shares of common stock with a par value of $0.0001 per share issued and outstanding for the Predecessor period January 1, 2019 through June 20, 2019.</w:t>
      </w:r>
    </w:p>
    <w:p>
      <w:pPr>
        <w:spacing w:after="0" w:line="106"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On February 25, 2021, pursuant to a Plan of Conversion Agreement, the Company converted from a Delaware limited liability company (Century Therapeutics LLC or “Successor”) to a Delaware corporation. Upon completion of this conversion, Prior Century merged with and into CenturyTx, Inc., with CenturyTx, Inc. as the surviving entity that changed its name to “Century Therapeutics, Inc.”</w:t>
      </w:r>
    </w:p>
    <w:p>
      <w:pPr>
        <w:spacing w:after="0" w:line="274"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 See Note 17.</w:t>
      </w: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619"/>
        <w:spacing w:after="0" w:line="278" w:lineRule="auto"/>
        <w:rPr>
          <w:sz w:val="20"/>
          <w:szCs w:val="20"/>
          <w:color w:val="auto"/>
        </w:rPr>
      </w:pPr>
      <w:r>
        <w:rPr>
          <w:rFonts w:ascii="Arial" w:cs="Arial" w:eastAsia="Arial" w:hAnsi="Arial"/>
          <w:sz w:val="14"/>
          <w:szCs w:val="14"/>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140" w:lineRule="exact"/>
        <w:rPr>
          <w:sz w:val="20"/>
          <w:szCs w:val="20"/>
          <w:color w:val="auto"/>
        </w:rPr>
      </w:pPr>
    </w:p>
    <w:p>
      <w:pPr>
        <w:jc w:val="both"/>
        <w:ind w:left="1240" w:right="1359"/>
        <w:spacing w:after="0" w:line="271" w:lineRule="auto"/>
        <w:rPr>
          <w:sz w:val="20"/>
          <w:szCs w:val="20"/>
          <w:color w:val="auto"/>
        </w:rPr>
      </w:pPr>
      <w:r>
        <w:rPr>
          <w:rFonts w:ascii="Arial" w:cs="Arial" w:eastAsia="Arial" w:hAnsi="Arial"/>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components, which the Company has elected to account for as a single lease component for all classes of underlying assets. Lease expense for variable lease components are recognized when the obligation is probable.</w:t>
      </w:r>
    </w:p>
    <w:p>
      <w:pPr>
        <w:spacing w:after="0" w:line="9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29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288" w:lineRule="exact"/>
        <w:rPr>
          <w:sz w:val="20"/>
          <w:szCs w:val="20"/>
          <w:color w:val="auto"/>
        </w:rPr>
      </w:pPr>
    </w:p>
    <w:p>
      <w:pPr>
        <w:ind w:left="1240" w:right="1779"/>
        <w:spacing w:after="0" w:line="276" w:lineRule="auto"/>
        <w:rPr>
          <w:sz w:val="20"/>
          <w:szCs w:val="20"/>
          <w:color w:val="auto"/>
        </w:rPr>
      </w:pPr>
      <w:r>
        <w:rPr>
          <w:rFonts w:ascii="Arial" w:cs="Arial" w:eastAsia="Arial" w:hAnsi="Arial"/>
          <w:sz w:val="14"/>
          <w:szCs w:val="14"/>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9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06"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733"/>
              <w:spacing w:after="0"/>
              <w:rPr>
                <w:sz w:val="20"/>
                <w:szCs w:val="20"/>
                <w:color w:val="auto"/>
              </w:rPr>
            </w:pPr>
            <w:r>
              <w:rPr>
                <w:rFonts w:ascii="Arial" w:cs="Arial" w:eastAsia="Arial" w:hAnsi="Arial"/>
                <w:sz w:val="13"/>
                <w:szCs w:val="13"/>
                <w:b w:val="1"/>
                <w:bCs w:val="1"/>
                <w:color w:val="auto"/>
              </w:rPr>
              <w:t>Successor</w:t>
            </w:r>
          </w:p>
        </w:tc>
        <w:tc>
          <w:tcPr>
            <w:tcW w:w="320" w:type="dxa"/>
            <w:vAlign w:val="bottom"/>
            <w:tcBorders>
              <w:top w:val="single" w:sz="8" w:color="auto"/>
              <w:bottom w:val="single" w:sz="8" w:color="auto"/>
              <w:right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top w:val="single" w:sz="8" w:color="auto"/>
              <w:bottom w:val="single" w:sz="8" w:color="auto"/>
            </w:tcBorders>
          </w:tcPr>
          <w:p>
            <w:pPr>
              <w:spacing w:after="0"/>
              <w:rPr>
                <w:sz w:val="17"/>
                <w:szCs w:val="17"/>
                <w:color w:val="auto"/>
              </w:rPr>
            </w:pPr>
          </w:p>
        </w:tc>
      </w:tr>
      <w:tr>
        <w:trPr>
          <w:trHeight w:val="134"/>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Borders>
              <w:right w:val="single" w:sz="8" w:color="auto"/>
            </w:tcBorders>
            <w:gridSpan w:val="2"/>
          </w:tcPr>
          <w:p>
            <w:pPr>
              <w:jc w:val="right"/>
              <w:ind w:right="29"/>
              <w:spacing w:after="0" w:line="134" w:lineRule="exact"/>
              <w:rPr>
                <w:sz w:val="20"/>
                <w:szCs w:val="20"/>
                <w:color w:val="auto"/>
              </w:rPr>
            </w:pPr>
            <w:r>
              <w:rPr>
                <w:rFonts w:ascii="Arial" w:cs="Arial" w:eastAsia="Arial" w:hAnsi="Arial"/>
                <w:sz w:val="13"/>
                <w:szCs w:val="13"/>
                <w:b w:val="1"/>
                <w:bCs w:val="1"/>
                <w:color w:val="auto"/>
              </w:rPr>
              <w:t>Period from</w:t>
            </w:r>
          </w:p>
        </w:tc>
        <w:tc>
          <w:tcPr>
            <w:tcW w:w="14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For the Year Ended</w:t>
            </w:r>
          </w:p>
        </w:tc>
        <w:tc>
          <w:tcPr>
            <w:tcW w:w="156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June 21, 2019 through</w:t>
            </w: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15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right w:val="single" w:sz="8" w:color="auto"/>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935</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2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180"/>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1"/>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-12700</wp:posOffset>
            </wp:positionV>
            <wp:extent cx="2032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136715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671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36"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rPr>
              <w:t>Successor</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Location in Balance Sheet</w:t>
            </w: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As of December 31, 2020</w:t>
            </w:r>
          </w:p>
        </w:tc>
      </w:tr>
      <w:tr>
        <w:trPr>
          <w:trHeight w:val="201"/>
        </w:trPr>
        <w:tc>
          <w:tcPr>
            <w:tcW w:w="6740" w:type="dxa"/>
            <w:vAlign w:val="bottom"/>
            <w:gridSpan w:val="7"/>
          </w:tcPr>
          <w:p>
            <w:pPr>
              <w:spacing w:after="0"/>
              <w:rPr>
                <w:sz w:val="20"/>
                <w:szCs w:val="20"/>
                <w:color w:val="auto"/>
              </w:rPr>
            </w:pPr>
            <w:r>
              <w:rPr>
                <w:rFonts w:ascii="Arial" w:cs="Arial" w:eastAsia="Arial" w:hAnsi="Arial"/>
                <w:sz w:val="14"/>
                <w:szCs w:val="14"/>
                <w:color w:val="auto"/>
              </w:rPr>
              <w:t>Operating lease right-of-use asset, netOperating lease right-of-use asset, net$9,392</w:t>
            </w:r>
          </w:p>
        </w:tc>
      </w:tr>
      <w:tr>
        <w:trPr>
          <w:trHeight w:val="203"/>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4320" w:type="dxa"/>
            <w:vAlign w:val="bottom"/>
            <w:gridSpan w:val="5"/>
          </w:tcPr>
          <w:p>
            <w:pPr>
              <w:ind w:left="160"/>
              <w:spacing w:after="0"/>
              <w:rPr>
                <w:sz w:val="20"/>
                <w:szCs w:val="20"/>
                <w:color w:val="auto"/>
              </w:rPr>
            </w:pPr>
            <w:r>
              <w:rPr>
                <w:rFonts w:ascii="Arial" w:cs="Arial" w:eastAsia="Arial" w:hAnsi="Arial"/>
                <w:sz w:val="14"/>
                <w:szCs w:val="14"/>
                <w:color w:val="auto"/>
              </w:rPr>
              <w:t>Accrued expenses and other liabilities $240</w:t>
            </w: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long-term</w:t>
            </w:r>
          </w:p>
        </w:tc>
        <w:tc>
          <w:tcPr>
            <w:tcW w:w="2720" w:type="dxa"/>
            <w:vAlign w:val="bottom"/>
          </w:tcPr>
          <w:p>
            <w:pPr>
              <w:ind w:left="160"/>
              <w:spacing w:after="0"/>
              <w:rPr>
                <w:sz w:val="20"/>
                <w:szCs w:val="20"/>
                <w:color w:val="auto"/>
              </w:rPr>
            </w:pPr>
            <w:r>
              <w:rPr>
                <w:rFonts w:ascii="Arial" w:cs="Arial" w:eastAsia="Arial" w:hAnsi="Arial"/>
                <w:sz w:val="14"/>
                <w:szCs w:val="14"/>
                <w:color w:val="auto"/>
              </w:rPr>
              <w:t>Operating lease liability, long-term</w:t>
            </w: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2720" w:type="dxa"/>
            <w:vAlign w:val="bottom"/>
          </w:tcPr>
          <w:p>
            <w:pPr>
              <w:spacing w:after="0"/>
              <w:rPr>
                <w:sz w:val="16"/>
                <w:szCs w:val="16"/>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11,919</w:t>
            </w:r>
          </w:p>
        </w:tc>
        <w:tc>
          <w:tcPr>
            <w:tcW w:w="1060" w:type="dxa"/>
            <w:vAlign w:val="bottom"/>
          </w:tcPr>
          <w:p>
            <w:pPr>
              <w:spacing w:after="0"/>
              <w:rPr>
                <w:sz w:val="16"/>
                <w:szCs w:val="16"/>
                <w:color w:val="auto"/>
              </w:rPr>
            </w:pPr>
          </w:p>
        </w:tc>
      </w:tr>
    </w:tbl>
    <w:p>
      <w:pPr>
        <w:spacing w:after="0" w:line="181" w:lineRule="exact"/>
        <w:rPr>
          <w:sz w:val="20"/>
          <w:szCs w:val="20"/>
          <w:color w:val="auto"/>
        </w:rPr>
      </w:pPr>
    </w:p>
    <w:p>
      <w:pPr>
        <w:ind w:left="1240" w:right="1279"/>
        <w:spacing w:after="0" w:line="270" w:lineRule="auto"/>
        <w:rPr>
          <w:sz w:val="20"/>
          <w:szCs w:val="20"/>
          <w:color w:val="auto"/>
        </w:rPr>
      </w:pPr>
      <w:r>
        <w:rPr>
          <w:rFonts w:ascii="Arial" w:cs="Arial" w:eastAsia="Arial" w:hAnsi="Arial"/>
          <w:sz w:val="14"/>
          <w:szCs w:val="14"/>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90170</wp:posOffset>
            </wp:positionV>
            <wp:extent cx="4134485" cy="13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December 31, 2020</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years</w:t>
            </w:r>
          </w:p>
        </w:tc>
        <w:tc>
          <w:tcPr>
            <w:tcW w:w="120" w:type="dxa"/>
            <w:vAlign w:val="bottom"/>
          </w:tcPr>
          <w:p>
            <w:pPr>
              <w:spacing w:after="0"/>
              <w:rPr>
                <w:sz w:val="14"/>
                <w:szCs w:val="14"/>
                <w:color w:val="auto"/>
              </w:rPr>
            </w:pPr>
          </w:p>
        </w:tc>
      </w:tr>
      <w:tr>
        <w:trPr>
          <w:trHeight w:val="181"/>
        </w:trPr>
        <w:tc>
          <w:tcPr>
            <w:tcW w:w="4860" w:type="dxa"/>
            <w:vAlign w:val="bottom"/>
            <w:gridSpan w:val="2"/>
          </w:tcPr>
          <w:p>
            <w:pPr>
              <w:spacing w:after="0"/>
              <w:rPr>
                <w:sz w:val="20"/>
                <w:szCs w:val="20"/>
                <w:color w:val="auto"/>
              </w:rPr>
            </w:pPr>
            <w:r>
              <w:rPr>
                <w:rFonts w:ascii="Arial" w:cs="Arial" w:eastAsia="Arial" w:hAnsi="Arial"/>
                <w:sz w:val="14"/>
                <w:szCs w:val="14"/>
                <w:color w:val="auto"/>
              </w:rPr>
              <w:t>Weighted-average discount rate—operating leases</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34"/>
        </w:trPr>
        <w:tc>
          <w:tcPr>
            <w:tcW w:w="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06"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2"/>
        </w:trPr>
        <w:tc>
          <w:tcPr>
            <w:tcW w:w="51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9,735</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280" w:type="dxa"/>
            <w:vAlign w:val="bottom"/>
            <w:tcBorders>
              <w:top w:val="single" w:sz="8" w:color="auto"/>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2021</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40" w:type="dxa"/>
            <w:vAlign w:val="bottom"/>
          </w:tcPr>
          <w:p>
            <w:pPr>
              <w:spacing w:after="0"/>
              <w:rPr>
                <w:sz w:val="14"/>
                <w:szCs w:val="14"/>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2022</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1,594</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2023</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5"/>
                <w:szCs w:val="15"/>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2024</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1,801</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2025</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40" w:type="dxa"/>
            <w:vAlign w:val="bottom"/>
          </w:tcPr>
          <w:p>
            <w:pPr>
              <w:spacing w:after="0"/>
              <w:rPr>
                <w:sz w:val="15"/>
                <w:szCs w:val="15"/>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13,207</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40" w:type="dxa"/>
            <w:vAlign w:val="bottom"/>
          </w:tcPr>
          <w:p>
            <w:pPr>
              <w:spacing w:after="0"/>
              <w:rPr>
                <w:sz w:val="14"/>
                <w:szCs w:val="14"/>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Less: Imputed Interest</w:t>
            </w:r>
          </w:p>
        </w:tc>
        <w:tc>
          <w:tcPr>
            <w:tcW w:w="7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(9,484)</w:t>
            </w:r>
          </w:p>
        </w:tc>
      </w:tr>
      <w:tr>
        <w:trPr>
          <w:trHeight w:val="180"/>
        </w:trPr>
        <w:tc>
          <w:tcPr>
            <w:tcW w:w="20" w:type="dxa"/>
            <w:vAlign w:val="bottom"/>
          </w:tcPr>
          <w:p>
            <w:pPr>
              <w:spacing w:after="0"/>
              <w:rPr>
                <w:sz w:val="15"/>
                <w:szCs w:val="15"/>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35280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335280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86"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13—Defined contribution plan</w:t>
      </w:r>
    </w:p>
    <w:p>
      <w:pPr>
        <w:spacing w:after="0" w:line="129"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14—Stock-based compensation</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7,749,605 and 6,064,957, respectively.</w:t>
      </w:r>
    </w:p>
    <w:p>
      <w:pPr>
        <w:spacing w:after="0" w:line="290"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 (i.e., the Company recognizes expense measured on the same basis as its investor, Prior Century). The Company also records a corresponding capital contribution from Prior Century.</w:t>
      </w:r>
    </w:p>
    <w:p>
      <w:pPr>
        <w:spacing w:after="0" w:line="107"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2"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June 20, 2019, Prior Century recognized $14 of stock based compensation within general and administrative expense in its consolidated statements of operations.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0" w:type="dxa"/>
            <w:vAlign w:val="bottom"/>
          </w:tcPr>
          <w:p>
            <w:pPr>
              <w:spacing w:after="0"/>
              <w:rPr>
                <w:sz w:val="14"/>
                <w:szCs w:val="14"/>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2,437,336</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1.36</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(142,468)</w:t>
            </w: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Exercised—unvested</w:t>
            </w:r>
          </w:p>
        </w:tc>
        <w:tc>
          <w:tcPr>
            <w:tcW w:w="780" w:type="dxa"/>
            <w:vAlign w:val="bottom"/>
          </w:tcPr>
          <w:p>
            <w:pPr>
              <w:jc w:val="right"/>
              <w:spacing w:after="0"/>
              <w:rPr>
                <w:sz w:val="20"/>
                <w:szCs w:val="20"/>
                <w:color w:val="auto"/>
              </w:rPr>
            </w:pPr>
            <w:r>
              <w:rPr>
                <w:rFonts w:ascii="Arial" w:cs="Arial" w:eastAsia="Arial" w:hAnsi="Arial"/>
                <w:sz w:val="14"/>
                <w:szCs w:val="14"/>
                <w:color w:val="auto"/>
              </w:rPr>
              <w:t>(157,446)</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3"/>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Cancelled</w:t>
            </w:r>
          </w:p>
        </w:tc>
        <w:tc>
          <w:tcPr>
            <w:tcW w:w="780" w:type="dxa"/>
            <w:vAlign w:val="bottom"/>
          </w:tcPr>
          <w:p>
            <w:pPr>
              <w:jc w:val="right"/>
              <w:spacing w:after="0"/>
              <w:rPr>
                <w:sz w:val="20"/>
                <w:szCs w:val="20"/>
                <w:color w:val="auto"/>
              </w:rPr>
            </w:pPr>
            <w:r>
              <w:rPr>
                <w:rFonts w:ascii="Arial" w:cs="Arial" w:eastAsia="Arial" w:hAnsi="Arial"/>
                <w:sz w:val="14"/>
                <w:szCs w:val="14"/>
                <w:color w:val="auto"/>
              </w:rPr>
              <w:t>(491)</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3,882,329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99"/>
        </w:trPr>
        <w:tc>
          <w:tcPr>
            <w:tcW w:w="1000" w:type="dxa"/>
            <w:vAlign w:val="bottom"/>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2020, Successor</w:t>
            </w: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2,377,182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0" w:type="dxa"/>
            <w:vAlign w:val="bottom"/>
          </w:tcPr>
          <w:p>
            <w:pPr>
              <w:spacing w:after="0"/>
              <w:rPr>
                <w:sz w:val="17"/>
                <w:szCs w:val="17"/>
                <w:color w:val="auto"/>
              </w:rPr>
            </w:pPr>
          </w:p>
        </w:tc>
      </w:tr>
      <w:tr>
        <w:trPr>
          <w:trHeight w:val="513"/>
        </w:trPr>
        <w:tc>
          <w:tcPr>
            <w:tcW w:w="1000" w:type="dxa"/>
            <w:vAlign w:val="bottom"/>
          </w:tcPr>
          <w:p>
            <w:pPr>
              <w:spacing w:after="0"/>
              <w:rPr>
                <w:sz w:val="24"/>
                <w:szCs w:val="24"/>
                <w:color w:val="auto"/>
              </w:rPr>
            </w:pPr>
          </w:p>
        </w:tc>
        <w:tc>
          <w:tcPr>
            <w:tcW w:w="3800" w:type="dxa"/>
            <w:vAlign w:val="bottom"/>
            <w:gridSpan w:val="2"/>
          </w:tcPr>
          <w:p>
            <w:pPr>
              <w:ind w:left="3080"/>
              <w:spacing w:after="0"/>
              <w:rPr>
                <w:sz w:val="20"/>
                <w:szCs w:val="20"/>
                <w:color w:val="auto"/>
              </w:rPr>
            </w:pPr>
            <w:r>
              <w:rPr>
                <w:rFonts w:ascii="Arial" w:cs="Arial" w:eastAsia="Arial" w:hAnsi="Arial"/>
                <w:sz w:val="14"/>
                <w:szCs w:val="14"/>
                <w:color w:val="auto"/>
              </w:rPr>
              <w:t>F-23</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-808355</wp:posOffset>
            </wp:positionV>
            <wp:extent cx="242062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r>
      <w:tr>
        <w:trPr>
          <w:trHeight w:val="12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64"/>
        </w:trPr>
        <w:tc>
          <w:tcPr>
            <w:tcW w:w="20" w:type="dxa"/>
            <w:vAlign w:val="bottom"/>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Outstanding January 1, 2019, Predecessor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766,988</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Outstanding June 21, 2019, Successor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1,336,841</w:t>
            </w: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(74,446)</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1"/>
        </w:trPr>
        <w:tc>
          <w:tcPr>
            <w:tcW w:w="2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December 31, 2019</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1,746,030</w:t>
            </w: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0.68</w:t>
            </w:r>
          </w:p>
        </w:tc>
        <w:tc>
          <w:tcPr>
            <w:tcW w:w="8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9.45</w:t>
            </w: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b w:val="1"/>
                <w:bCs w:val="1"/>
                <w:color w:val="auto"/>
              </w:rPr>
              <w:t>Exercisable at December 31, 2019, Successor</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1,508,531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-257810</wp:posOffset>
            </wp:positionV>
            <wp:extent cx="242062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-692785</wp:posOffset>
            </wp:positionV>
            <wp:extent cx="242062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20620" cy="6985"/>
                    </a:xfrm>
                    <a:prstGeom prst="rect">
                      <a:avLst/>
                    </a:prstGeom>
                    <a:noFill/>
                  </pic:spPr>
                </pic:pic>
              </a:graphicData>
            </a:graphic>
          </wp:anchor>
        </w:drawing>
      </w:r>
    </w:p>
    <w:p>
      <w:pPr>
        <w:spacing w:after="0" w:line="8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weighted average grant date fair value of awards for options granted during the Successor year and period ended December 31, 2020 and 2019 was $0.81 and $0.63, respectively. As of December 31, 2020, there was $1,862 of total unrecognized compensation expense related to unvested stock options with time-based vesting terms, which is expected to be recognized over a weighted average period of 2.87 years.</w:t>
      </w:r>
    </w:p>
    <w:p>
      <w:pPr>
        <w:spacing w:after="0" w:line="10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Prior Century issued 213,624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13" w:lineRule="exact"/>
        <w:rPr>
          <w:sz w:val="20"/>
          <w:szCs w:val="20"/>
          <w:color w:val="auto"/>
        </w:rPr>
      </w:pPr>
    </w:p>
    <w:p>
      <w:pPr>
        <w:jc w:val="both"/>
        <w:ind w:left="1240" w:right="1459"/>
        <w:spacing w:after="0" w:line="274" w:lineRule="auto"/>
        <w:rPr>
          <w:sz w:val="20"/>
          <w:szCs w:val="20"/>
          <w:color w:val="auto"/>
        </w:rPr>
      </w:pPr>
      <w:r>
        <w:rPr>
          <w:rFonts w:ascii="Arial" w:cs="Arial" w:eastAsia="Arial" w:hAnsi="Arial"/>
          <w:sz w:val="14"/>
          <w:szCs w:val="14"/>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20" w:type="dxa"/>
            <w:vAlign w:val="bottom"/>
            <w:gridSpan w:val="3"/>
          </w:tcPr>
          <w:p>
            <w:pPr>
              <w:jc w:val="right"/>
              <w:ind w:right="2080"/>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Period ended</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jc w:val="right"/>
              <w:ind w:right="134"/>
              <w:spacing w:after="0"/>
              <w:rPr>
                <w:sz w:val="20"/>
                <w:szCs w:val="20"/>
                <w:color w:val="auto"/>
              </w:rPr>
            </w:pPr>
            <w:r>
              <w:rPr>
                <w:rFonts w:ascii="Arial" w:cs="Arial" w:eastAsia="Arial" w:hAnsi="Arial"/>
                <w:sz w:val="13"/>
                <w:szCs w:val="13"/>
                <w:b w:val="1"/>
                <w:bCs w:val="1"/>
                <w:color w:val="auto"/>
              </w:rPr>
              <w:t>Year ended</w:t>
            </w:r>
          </w:p>
        </w:tc>
        <w:tc>
          <w:tcPr>
            <w:tcW w:w="2480" w:type="dxa"/>
            <w:vAlign w:val="bottom"/>
            <w:gridSpan w:val="2"/>
          </w:tcPr>
          <w:p>
            <w:pPr>
              <w:jc w:val="right"/>
              <w:ind w:right="1040"/>
              <w:spacing w:after="0"/>
              <w:rPr>
                <w:sz w:val="20"/>
                <w:szCs w:val="20"/>
                <w:color w:val="auto"/>
              </w:rPr>
            </w:pPr>
            <w:r>
              <w:rPr>
                <w:rFonts w:ascii="Arial" w:cs="Arial" w:eastAsia="Arial" w:hAnsi="Arial"/>
                <w:sz w:val="13"/>
                <w:szCs w:val="13"/>
                <w:b w:val="1"/>
                <w:bCs w:val="1"/>
                <w:color w:val="auto"/>
              </w:rPr>
              <w:t>June 21, 2019 through</w:t>
            </w:r>
          </w:p>
        </w:tc>
      </w:t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jc w:val="right"/>
              <w:ind w:right="94"/>
              <w:spacing w:after="0"/>
              <w:rPr>
                <w:sz w:val="20"/>
                <w:szCs w:val="20"/>
                <w:color w:val="auto"/>
              </w:rPr>
            </w:pPr>
            <w:r>
              <w:rPr>
                <w:rFonts w:ascii="Arial" w:cs="Arial" w:eastAsia="Arial" w:hAnsi="Arial"/>
                <w:sz w:val="13"/>
                <w:szCs w:val="13"/>
                <w:b w:val="1"/>
                <w:bCs w:val="1"/>
                <w:color w:val="auto"/>
              </w:rPr>
              <w:t>December 31, 2020</w:t>
            </w:r>
          </w:p>
        </w:tc>
        <w:tc>
          <w:tcPr>
            <w:tcW w:w="2480" w:type="dxa"/>
            <w:vAlign w:val="bottom"/>
            <w:gridSpan w:val="2"/>
          </w:tcPr>
          <w:p>
            <w:pPr>
              <w:jc w:val="right"/>
              <w:ind w:right="1020"/>
              <w:spacing w:after="0"/>
              <w:rPr>
                <w:sz w:val="20"/>
                <w:szCs w:val="20"/>
                <w:color w:val="auto"/>
              </w:rPr>
            </w:pPr>
            <w:r>
              <w:rPr>
                <w:rFonts w:ascii="Arial" w:cs="Arial" w:eastAsia="Arial" w:hAnsi="Arial"/>
                <w:sz w:val="13"/>
                <w:szCs w:val="13"/>
                <w:b w:val="1"/>
                <w:bCs w:val="1"/>
                <w:color w:val="auto"/>
              </w:rPr>
              <w:t>December 31, 2019</w:t>
            </w:r>
          </w:p>
        </w:tc>
      </w:tr>
      <w:tr>
        <w:trPr>
          <w:trHeight w:val="182"/>
        </w:trPr>
        <w:tc>
          <w:tcPr>
            <w:tcW w:w="1000" w:type="dxa"/>
            <w:vAlign w:val="bottom"/>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2520" w:type="dxa"/>
            <w:vAlign w:val="bottom"/>
            <w:gridSpan w:val="2"/>
          </w:tcPr>
          <w:p>
            <w:pPr>
              <w:jc w:val="right"/>
              <w:ind w:right="74"/>
              <w:spacing w:after="0"/>
              <w:rPr>
                <w:sz w:val="20"/>
                <w:szCs w:val="20"/>
                <w:color w:val="auto"/>
              </w:rPr>
            </w:pPr>
            <w:r>
              <w:rPr>
                <w:rFonts w:ascii="Arial" w:cs="Arial" w:eastAsia="Arial" w:hAnsi="Arial"/>
                <w:sz w:val="14"/>
                <w:szCs w:val="14"/>
                <w:color w:val="auto"/>
              </w:rPr>
              <w:t>5.85</w:t>
            </w:r>
          </w:p>
        </w:tc>
        <w:tc>
          <w:tcPr>
            <w:tcW w:w="1480" w:type="dxa"/>
            <w:vAlign w:val="bottom"/>
          </w:tcPr>
          <w:p>
            <w:pPr>
              <w:jc w:val="right"/>
              <w:spacing w:after="0"/>
              <w:rPr>
                <w:sz w:val="20"/>
                <w:szCs w:val="20"/>
                <w:color w:val="auto"/>
              </w:rPr>
            </w:pPr>
            <w:r>
              <w:rPr>
                <w:rFonts w:ascii="Arial" w:cs="Arial" w:eastAsia="Arial" w:hAnsi="Arial"/>
                <w:sz w:val="14"/>
                <w:szCs w:val="14"/>
                <w:color w:val="auto"/>
              </w:rPr>
              <w:t>5.97</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volatility</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68.38%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65.63%</w:t>
            </w:r>
          </w:p>
        </w:tc>
      </w:tr>
      <w:tr>
        <w:trPr>
          <w:trHeight w:val="182"/>
        </w:trPr>
        <w:tc>
          <w:tcPr>
            <w:tcW w:w="100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0.58%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1.77%</w:t>
            </w:r>
          </w:p>
        </w:tc>
      </w:tr>
      <w:tr>
        <w:trPr>
          <w:trHeight w:val="33"/>
        </w:trPr>
        <w:tc>
          <w:tcPr>
            <w:tcW w:w="10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20" w:type="dxa"/>
            <w:vAlign w:val="bottom"/>
            <w:gridSpan w:val="2"/>
          </w:tcPr>
          <w:p>
            <w:pPr>
              <w:jc w:val="right"/>
              <w:ind w:right="1574"/>
              <w:spacing w:after="0"/>
              <w:rPr>
                <w:sz w:val="20"/>
                <w:szCs w:val="20"/>
                <w:color w:val="auto"/>
              </w:rPr>
            </w:pPr>
            <w:r>
              <w:rPr>
                <w:rFonts w:ascii="Arial" w:cs="Arial" w:eastAsia="Arial" w:hAnsi="Arial"/>
                <w:sz w:val="14"/>
                <w:szCs w:val="14"/>
                <w:color w:val="auto"/>
              </w:rPr>
              <w:t>F-24</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4134485" cy="1155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134485" cy="1155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-1026160</wp:posOffset>
            </wp:positionV>
            <wp:extent cx="227838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7838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33" w:lineRule="exact"/>
        <w:rPr>
          <w:sz w:val="20"/>
          <w:szCs w:val="20"/>
          <w:color w:val="auto"/>
        </w:rPr>
      </w:pPr>
    </w:p>
    <w:p>
      <w:pPr>
        <w:ind w:left="1240" w:right="1479"/>
        <w:spacing w:after="0" w:line="286" w:lineRule="auto"/>
        <w:rPr>
          <w:sz w:val="20"/>
          <w:szCs w:val="20"/>
          <w:color w:val="auto"/>
        </w:rPr>
      </w:pPr>
      <w:r>
        <w:rPr>
          <w:rFonts w:ascii="Arial" w:cs="Arial" w:eastAsia="Arial" w:hAnsi="Arial"/>
          <w:sz w:val="14"/>
          <w:szCs w:val="14"/>
          <w:color w:val="auto"/>
        </w:rPr>
        <w:t>The following table summarizes restricted stock activity for the year ended December 31, 2020 and December 31, 2019:</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January 1, 2019, Predecessor</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1,704,256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Issued</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278,905</w:t>
            </w:r>
          </w:p>
        </w:tc>
        <w:tc>
          <w:tcPr>
            <w:tcW w:w="10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(23,241)</w:t>
            </w:r>
          </w:p>
        </w:tc>
        <w:tc>
          <w:tcPr>
            <w:tcW w:w="10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Unvested June 21,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1,959,920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Issued</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571,407</w:t>
            </w:r>
          </w:p>
        </w:tc>
        <w:tc>
          <w:tcPr>
            <w:tcW w:w="10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(298,080)</w:t>
            </w:r>
          </w:p>
        </w:tc>
        <w:tc>
          <w:tcPr>
            <w:tcW w:w="10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(516,456)</w:t>
            </w:r>
          </w:p>
        </w:tc>
        <w:tc>
          <w:tcPr>
            <w:tcW w:w="10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1,716,791</w:t>
            </w: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(663,289)</w:t>
            </w:r>
          </w:p>
        </w:tc>
        <w:tc>
          <w:tcPr>
            <w:tcW w:w="10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2020,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1,053,502</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107"/>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r>
        <w:trPr>
          <w:trHeight w:val="55"/>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bl>
    <w:p>
      <w:pPr>
        <w:spacing w:after="0" w:line="139"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During 2018, Prior Century issued 596,160 shares of common stock at a purchase price of $0.03 per share. Also, during 2018, Prior Century issued 1,108,096 shares of restricted common stock. Pursuant to certain stock purchase agreements containing vesting and other provisions, Prior Century has the right to repurchase unvested shares. In October 2019, Prior Century repurchased 298,080 shares at $1.03 per share for a cost of $307.</w:t>
      </w:r>
    </w:p>
    <w:p>
      <w:pPr>
        <w:spacing w:after="0" w:line="95" w:lineRule="exact"/>
        <w:rPr>
          <w:sz w:val="20"/>
          <w:szCs w:val="20"/>
          <w:color w:val="auto"/>
        </w:rPr>
      </w:pPr>
    </w:p>
    <w:p>
      <w:pPr>
        <w:ind w:left="1240" w:right="1439"/>
        <w:spacing w:after="0" w:line="298" w:lineRule="auto"/>
        <w:rPr>
          <w:sz w:val="20"/>
          <w:szCs w:val="20"/>
          <w:color w:val="auto"/>
        </w:rPr>
      </w:pPr>
      <w:r>
        <w:rPr>
          <w:rFonts w:ascii="Arial" w:cs="Arial" w:eastAsia="Arial" w:hAnsi="Arial"/>
          <w:sz w:val="14"/>
          <w:szCs w:val="14"/>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171"/>
              <w:spacing w:after="0"/>
              <w:rPr>
                <w:sz w:val="20"/>
                <w:szCs w:val="20"/>
                <w:color w:val="auto"/>
              </w:rPr>
            </w:pPr>
            <w:r>
              <w:rPr>
                <w:rFonts w:ascii="Arial" w:cs="Arial" w:eastAsia="Arial" w:hAnsi="Arial"/>
                <w:sz w:val="13"/>
                <w:szCs w:val="13"/>
                <w:b w:val="1"/>
                <w:bCs w:val="1"/>
                <w:color w:val="auto"/>
              </w:rPr>
              <w:t>Successor</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24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r>
      <w:tr>
        <w:trPr>
          <w:trHeight w:val="135"/>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20" w:type="dxa"/>
            <w:vAlign w:val="bottom"/>
            <w:tcBorders>
              <w:right w:val="single" w:sz="8" w:color="auto"/>
            </w:tcBorders>
            <w:gridSpan w:val="3"/>
          </w:tcPr>
          <w:p>
            <w:pPr>
              <w:jc w:val="right"/>
              <w:spacing w:after="0" w:line="136"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gridSpan w:val="3"/>
          </w:tcPr>
          <w:p>
            <w:pPr>
              <w:jc w:val="right"/>
              <w:ind w:right="111"/>
              <w:spacing w:after="0"/>
              <w:rPr>
                <w:sz w:val="20"/>
                <w:szCs w:val="20"/>
                <w:color w:val="auto"/>
              </w:rPr>
            </w:pPr>
            <w:r>
              <w:rPr>
                <w:rFonts w:ascii="Arial" w:cs="Arial" w:eastAsia="Arial" w:hAnsi="Arial"/>
                <w:sz w:val="13"/>
                <w:szCs w:val="13"/>
                <w:b w:val="1"/>
                <w:bCs w:val="1"/>
                <w:color w:val="auto"/>
              </w:rPr>
              <w:t>For the Year Ended</w:t>
            </w: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21, 2019 through</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(53,575)</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(238,767)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(6,002)</w:t>
            </w:r>
          </w:p>
        </w:tc>
      </w:tr>
      <w:tr>
        <w:trPr>
          <w:trHeight w:val="22"/>
        </w:trPr>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and diluted net loss per share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7,481,861</w:t>
            </w:r>
          </w:p>
        </w:tc>
        <w:tc>
          <w:tcPr>
            <w:tcW w:w="4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r>
      <w:tr>
        <w:trPr>
          <w:trHeight w:val="33"/>
        </w:trPr>
        <w:tc>
          <w:tcPr>
            <w:tcW w:w="3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6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(7.16)</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following table summarizes the potentially dilutive securities convertible into common shares that were excluded from the calculation of diluted net loss per common share because their inclusion would have been antidilutive:</w:t>
      </w:r>
    </w:p>
    <w:p>
      <w:pPr>
        <w:spacing w:after="0" w:line="107"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right w:val="single" w:sz="8" w:color="auto"/>
            </w:tcBorders>
            <w:gridSpan w:val="2"/>
          </w:tcPr>
          <w:p>
            <w:pPr>
              <w:jc w:val="right"/>
              <w:ind w:right="910"/>
              <w:spacing w:after="0"/>
              <w:rPr>
                <w:sz w:val="20"/>
                <w:szCs w:val="20"/>
                <w:color w:val="auto"/>
              </w:rPr>
            </w:pPr>
            <w:r>
              <w:rPr>
                <w:rFonts w:ascii="Arial" w:cs="Arial" w:eastAsia="Arial" w:hAnsi="Arial"/>
                <w:sz w:val="13"/>
                <w:szCs w:val="13"/>
                <w:b w:val="1"/>
                <w:bCs w:val="1"/>
                <w:color w:val="auto"/>
              </w:rPr>
              <w:t>Successor</w:t>
            </w:r>
          </w:p>
        </w:tc>
        <w:tc>
          <w:tcPr>
            <w:tcW w:w="14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40" w:type="dxa"/>
            <w:vAlign w:val="bottom"/>
            <w:tcBorders>
              <w:right w:val="single" w:sz="8" w:color="auto"/>
            </w:tcBorders>
          </w:tcPr>
          <w:p>
            <w:pPr>
              <w:jc w:val="right"/>
              <w:ind w:right="10"/>
              <w:spacing w:after="0" w:line="134" w:lineRule="exact"/>
              <w:rPr>
                <w:sz w:val="20"/>
                <w:szCs w:val="20"/>
                <w:color w:val="auto"/>
              </w:rPr>
            </w:pPr>
            <w:r>
              <w:rPr>
                <w:rFonts w:ascii="Arial" w:cs="Arial" w:eastAsia="Arial" w:hAnsi="Arial"/>
                <w:sz w:val="13"/>
                <w:szCs w:val="13"/>
                <w:b w:val="1"/>
                <w:bCs w:val="1"/>
                <w:color w:val="auto"/>
              </w:rPr>
              <w:t>For the period June</w:t>
            </w:r>
          </w:p>
        </w:tc>
        <w:tc>
          <w:tcPr>
            <w:tcW w:w="14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the Year Ended</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21, 2019 through</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through June 20,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3,882,328</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Early exercised stock options subject to future</w:t>
            </w: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330,629</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 subject to future</w:t>
            </w: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1,716,791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1,959,920</w:t>
            </w:r>
          </w:p>
        </w:tc>
        <w:tc>
          <w:tcPr>
            <w:tcW w:w="0" w:type="dxa"/>
            <w:vAlign w:val="bottom"/>
          </w:tcPr>
          <w:p>
            <w:pPr>
              <w:spacing w:after="0"/>
              <w:rPr>
                <w:sz w:val="1"/>
                <w:szCs w:val="1"/>
                <w:color w:val="auto"/>
              </w:rPr>
            </w:pP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16,112</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58"/>
        </w:trPr>
        <w:tc>
          <w:tcPr>
            <w:tcW w:w="3100" w:type="dxa"/>
            <w:vAlign w:val="bottom"/>
            <w:gridSpan w:val="2"/>
          </w:tcPr>
          <w:p>
            <w:pPr>
              <w:spacing w:after="0" w:line="158"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3"/>
                <w:szCs w:val="13"/>
                <w:color w:val="auto"/>
              </w:rPr>
            </w:pPr>
          </w:p>
        </w:tc>
        <w:tc>
          <w:tcPr>
            <w:tcW w:w="1260" w:type="dxa"/>
            <w:vAlign w:val="bottom"/>
          </w:tcPr>
          <w:p>
            <w:pPr>
              <w:jc w:val="right"/>
              <w:spacing w:after="0" w:line="151" w:lineRule="exact"/>
              <w:rPr>
                <w:sz w:val="20"/>
                <w:szCs w:val="20"/>
                <w:color w:val="auto"/>
              </w:rPr>
            </w:pPr>
            <w:r>
              <w:rPr>
                <w:rFonts w:ascii="Arial" w:cs="Arial" w:eastAsia="Arial" w:hAnsi="Arial"/>
                <w:sz w:val="14"/>
                <w:szCs w:val="14"/>
                <w:color w:val="auto"/>
              </w:rPr>
              <w:t>66,426,361</w:t>
            </w:r>
          </w:p>
        </w:tc>
        <w:tc>
          <w:tcPr>
            <w:tcW w:w="134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64,889,964</w:t>
            </w:r>
          </w:p>
        </w:tc>
        <w:tc>
          <w:tcPr>
            <w:tcW w:w="1420" w:type="dxa"/>
            <w:vAlign w:val="bottom"/>
          </w:tcPr>
          <w:p>
            <w:pPr>
              <w:jc w:val="right"/>
              <w:spacing w:after="0" w:line="151" w:lineRule="exact"/>
              <w:rPr>
                <w:sz w:val="20"/>
                <w:szCs w:val="20"/>
                <w:color w:val="auto"/>
              </w:rPr>
            </w:pPr>
            <w:r>
              <w:rPr>
                <w:rFonts w:ascii="Arial" w:cs="Arial" w:eastAsia="Arial" w:hAnsi="Arial"/>
                <w:sz w:val="14"/>
                <w:szCs w:val="14"/>
                <w:color w:val="auto"/>
              </w:rPr>
              <w:t>37,726,908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Acquired 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The original research budget of $19,700 was increased to $30,400 in March 2021.</w:t>
      </w:r>
    </w:p>
    <w:p>
      <w:pPr>
        <w:spacing w:after="0" w:line="288"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27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Company incurred research and development operating expenses of $3,139 and legal fees of $118 recorded as general and administrative expenses in the consolidated statements of operations and comprehensive loss.</w:t>
      </w:r>
    </w:p>
    <w:p>
      <w:pPr>
        <w:spacing w:after="0" w:line="94"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During the Predecessor period January 1, 2019 through June 20, 2019, the Company incurred research and development operating expenses of $1,643.</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has evaluated subsequent events for the year ended December 31, 2020, the date of these consolidated financial statements, through May 5, 2021, which represents the date these consolidated financial statements were issued. 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8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55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19"/>
        <w:spacing w:after="0" w:line="286" w:lineRule="auto"/>
        <w:rPr>
          <w:sz w:val="20"/>
          <w:szCs w:val="20"/>
          <w:color w:val="auto"/>
        </w:rPr>
      </w:pPr>
      <w:r>
        <w:rPr>
          <w:rFonts w:ascii="Arial" w:cs="Arial" w:eastAsia="Arial" w:hAnsi="Arial"/>
          <w:sz w:val="14"/>
          <w:szCs w:val="14"/>
          <w:color w:val="auto"/>
        </w:rPr>
        <w:t>be distributed ratably among the holders of Preferred Stock in proportion to the preferential amount each such holder is otherwise entitled to receive.</w:t>
      </w:r>
    </w:p>
    <w:p>
      <w:pPr>
        <w:spacing w:after="0" w:line="87"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06"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9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260"/>
        <w:spacing w:after="0"/>
        <w:rPr>
          <w:rFonts w:ascii="Arial" w:cs="Arial" w:eastAsia="Arial" w:hAnsi="Arial"/>
          <w:sz w:val="11"/>
          <w:szCs w:val="11"/>
          <w:color w:val="003366"/>
        </w:rPr>
      </w:pPr>
      <w:hyperlink w:anchor="page218">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1"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279"/>
        <w:spacing w:after="0" w:line="231" w:lineRule="auto"/>
        <w:rPr>
          <w:sz w:val="20"/>
          <w:szCs w:val="20"/>
          <w:color w:val="auto"/>
        </w:rPr>
      </w:pPr>
      <w:r>
        <w:rPr>
          <w:rFonts w:ascii="Arial" w:cs="Arial" w:eastAsia="Arial" w:hAnsi="Arial"/>
          <w:sz w:val="23"/>
          <w:szCs w:val="23"/>
          <w:b w:val="1"/>
          <w:bCs w:val="1"/>
          <w:color w:val="auto"/>
        </w:rPr>
        <w:t>As of and for the three months ended March 31, 2021 and March 31, 2020</w:t>
      </w:r>
    </w:p>
    <w:p>
      <w:pPr>
        <w:spacing w:after="0" w:line="9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Unaudited consolidated financial statements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gridSpan w:val="5"/>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Consolidated balance sheets as of March 31, 2021 and December 31, 2020</w:t>
              </w:r>
            </w:hyperlink>
          </w:p>
        </w:tc>
        <w:tc>
          <w:tcPr>
            <w:tcW w:w="1860" w:type="dxa"/>
            <w:vAlign w:val="bottom"/>
            <w:gridSpan w:val="3"/>
          </w:tcPr>
          <w:p>
            <w:pPr>
              <w:spacing w:after="0"/>
              <w:rPr>
                <w:sz w:val="14"/>
                <w:szCs w:val="14"/>
                <w:color w:val="auto"/>
              </w:rPr>
            </w:pPr>
          </w:p>
        </w:tc>
        <w:tc>
          <w:tcPr>
            <w:tcW w:w="320" w:type="dxa"/>
            <w:vAlign w:val="bottom"/>
            <w:gridSpan w:val="2"/>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F-30</w:t>
              </w:r>
            </w:hyperlink>
          </w:p>
        </w:tc>
      </w:tr>
      <w:tr>
        <w:trPr>
          <w:trHeight w:val="26"/>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tcBorders>
              <w:bottom w:val="single" w:sz="8" w:color="0000EE"/>
            </w:tcBorders>
          </w:tcPr>
          <w:p>
            <w:pPr>
              <w:spacing w:after="0"/>
              <w:rPr>
                <w:sz w:val="15"/>
                <w:szCs w:val="15"/>
                <w:color w:val="auto"/>
              </w:rPr>
            </w:pPr>
          </w:p>
        </w:tc>
        <w:tc>
          <w:tcPr>
            <w:tcW w:w="6780" w:type="dxa"/>
            <w:vAlign w:val="bottom"/>
            <w:tcBorders>
              <w:bottom w:val="single" w:sz="8" w:color="0000EE"/>
            </w:tcBorders>
            <w:gridSpan w:val="6"/>
            <w:shd w:val="clear" w:color="auto" w:fill="CCEEFF"/>
          </w:tcPr>
          <w:p>
            <w:pPr>
              <w:spacing w:after="0"/>
              <w:rPr>
                <w:rFonts w:ascii="Arial" w:cs="Arial" w:eastAsia="Arial" w:hAnsi="Arial"/>
                <w:sz w:val="14"/>
                <w:szCs w:val="14"/>
                <w:color w:val="0000EE"/>
              </w:rPr>
            </w:pPr>
            <w:hyperlink w:anchor="page248">
              <w:r>
                <w:rPr>
                  <w:rFonts w:ascii="Arial" w:cs="Arial" w:eastAsia="Arial" w:hAnsi="Arial"/>
                  <w:sz w:val="14"/>
                  <w:szCs w:val="14"/>
                  <w:color w:val="0000EE"/>
                </w:rPr>
                <w:t>Consolidated statements of operations and comprehensive loss for the three months ended March 31,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line="151" w:lineRule="exact"/>
              <w:rPr>
                <w:rFonts w:ascii="Arial" w:cs="Arial" w:eastAsia="Arial" w:hAnsi="Arial"/>
                <w:sz w:val="14"/>
                <w:szCs w:val="14"/>
                <w:color w:val="0000EE"/>
              </w:rPr>
            </w:pPr>
            <w:hyperlink w:anchor="page248">
              <w:r>
                <w:rPr>
                  <w:rFonts w:ascii="Arial" w:cs="Arial" w:eastAsia="Arial" w:hAnsi="Arial"/>
                  <w:sz w:val="14"/>
                  <w:szCs w:val="14"/>
                  <w:color w:val="0000EE"/>
                </w:rPr>
                <w:t>2021 and March 31, 2020</w:t>
              </w:r>
            </w:hyperlink>
          </w:p>
        </w:tc>
        <w:tc>
          <w:tcPr>
            <w:tcW w:w="5040" w:type="dxa"/>
            <w:vAlign w:val="bottom"/>
            <w:gridSpan w:val="5"/>
            <w:shd w:val="clear" w:color="auto" w:fill="CCEEFF"/>
          </w:tcPr>
          <w:p>
            <w:pPr>
              <w:spacing w:after="0"/>
              <w:rPr>
                <w:sz w:val="13"/>
                <w:szCs w:val="13"/>
                <w:color w:val="auto"/>
              </w:rPr>
            </w:pPr>
          </w:p>
        </w:tc>
        <w:tc>
          <w:tcPr>
            <w:tcW w:w="320" w:type="dxa"/>
            <w:vAlign w:val="bottom"/>
            <w:gridSpan w:val="2"/>
            <w:shd w:val="clear" w:color="auto" w:fill="CCEEFF"/>
          </w:tcPr>
          <w:p>
            <w:pPr>
              <w:spacing w:after="0" w:line="151" w:lineRule="exact"/>
              <w:rPr>
                <w:rFonts w:ascii="Arial" w:cs="Arial" w:eastAsia="Arial" w:hAnsi="Arial"/>
                <w:sz w:val="14"/>
                <w:szCs w:val="14"/>
                <w:color w:val="0000EE"/>
              </w:rPr>
            </w:pPr>
            <w:hyperlink w:anchor="page248">
              <w:r>
                <w:rPr>
                  <w:rFonts w:ascii="Arial" w:cs="Arial" w:eastAsia="Arial" w:hAnsi="Arial"/>
                  <w:sz w:val="14"/>
                  <w:szCs w:val="14"/>
                  <w:color w:val="0000EE"/>
                </w:rPr>
                <w:t>F-31</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1"/>
        </w:trPr>
        <w:tc>
          <w:tcPr>
            <w:tcW w:w="6560" w:type="dxa"/>
            <w:vAlign w:val="bottom"/>
            <w:tcBorders>
              <w:bottom w:val="single" w:sz="8" w:color="0000EE"/>
            </w:tcBorders>
            <w:gridSpan w:val="6"/>
          </w:tcPr>
          <w:p>
            <w:pPr>
              <w:spacing w:after="0"/>
              <w:rPr>
                <w:rFonts w:ascii="Arial" w:cs="Arial" w:eastAsia="Arial" w:hAnsi="Arial"/>
                <w:sz w:val="14"/>
                <w:szCs w:val="14"/>
                <w:color w:val="0000EE"/>
              </w:rPr>
            </w:pPr>
            <w:hyperlink w:anchor="page249">
              <w:r>
                <w:rPr>
                  <w:rFonts w:ascii="Arial" w:cs="Arial" w:eastAsia="Arial" w:hAnsi="Arial"/>
                  <w:sz w:val="14"/>
                  <w:szCs w:val="14"/>
                  <w:color w:val="0000EE"/>
                </w:rPr>
                <w:t>Consolidated statements of changes in convertible preferred stock and stockholders’ deficit for the</w:t>
              </w:r>
            </w:hyperlink>
          </w:p>
        </w:tc>
        <w:tc>
          <w:tcPr>
            <w:tcW w:w="3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40" w:type="dxa"/>
            <w:vAlign w:val="bottom"/>
            <w:gridSpan w:val="6"/>
          </w:tcPr>
          <w:p>
            <w:pPr>
              <w:spacing w:after="0" w:line="151" w:lineRule="exact"/>
              <w:rPr>
                <w:rFonts w:ascii="Arial" w:cs="Arial" w:eastAsia="Arial" w:hAnsi="Arial"/>
                <w:sz w:val="14"/>
                <w:szCs w:val="14"/>
                <w:color w:val="0000EE"/>
              </w:rPr>
            </w:pPr>
            <w:hyperlink w:anchor="page249">
              <w:r>
                <w:rPr>
                  <w:rFonts w:ascii="Arial" w:cs="Arial" w:eastAsia="Arial" w:hAnsi="Arial"/>
                  <w:sz w:val="14"/>
                  <w:szCs w:val="14"/>
                  <w:color w:val="0000EE"/>
                </w:rPr>
                <w:t>three months ended March 31, 2021 and March 31, 2020</w:t>
              </w:r>
            </w:hyperlink>
          </w:p>
        </w:tc>
        <w:tc>
          <w:tcPr>
            <w:tcW w:w="320" w:type="dxa"/>
            <w:vAlign w:val="bottom"/>
            <w:gridSpan w:val="2"/>
          </w:tcPr>
          <w:p>
            <w:pPr>
              <w:spacing w:after="0" w:line="151" w:lineRule="exact"/>
              <w:rPr>
                <w:rFonts w:ascii="Arial" w:cs="Arial" w:eastAsia="Arial" w:hAnsi="Arial"/>
                <w:sz w:val="14"/>
                <w:szCs w:val="14"/>
                <w:color w:val="0000EE"/>
              </w:rPr>
            </w:pPr>
            <w:hyperlink w:anchor="page249">
              <w:r>
                <w:rPr>
                  <w:rFonts w:ascii="Arial" w:cs="Arial" w:eastAsia="Arial" w:hAnsi="Arial"/>
                  <w:sz w:val="14"/>
                  <w:szCs w:val="14"/>
                  <w:color w:val="0000EE"/>
                </w:rPr>
                <w:t>F-32</w:t>
              </w:r>
            </w:hyperlink>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20320</wp:posOffset>
            </wp:positionV>
            <wp:extent cx="4569460" cy="135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69460" cy="135890"/>
                    </a:xfrm>
                    <a:prstGeom prst="rect">
                      <a:avLst/>
                    </a:prstGeom>
                    <a:noFill/>
                  </pic:spPr>
                </pic:pic>
              </a:graphicData>
            </a:graphic>
          </wp:anchor>
        </w:drawing>
      </w:r>
    </w:p>
    <w:p>
      <w:pPr>
        <w:spacing w:after="0" w:line="54" w:lineRule="exact"/>
        <w:rPr>
          <w:sz w:val="20"/>
          <w:szCs w:val="20"/>
          <w:color w:val="auto"/>
        </w:rPr>
      </w:pPr>
    </w:p>
    <w:p>
      <w:pPr>
        <w:jc w:val="right"/>
        <w:ind w:right="579"/>
        <w:spacing w:after="0"/>
        <w:rPr>
          <w:rFonts w:ascii="Arial" w:cs="Arial" w:eastAsia="Arial" w:hAnsi="Arial"/>
          <w:sz w:val="14"/>
          <w:szCs w:val="14"/>
          <w:u w:val="single" w:color="auto"/>
          <w:color w:val="0000EE"/>
        </w:rPr>
      </w:pPr>
      <w:hyperlink w:anchor="page250">
        <w:r>
          <w:rPr>
            <w:rFonts w:ascii="Arial" w:cs="Arial" w:eastAsia="Arial" w:hAnsi="Arial"/>
            <w:sz w:val="14"/>
            <w:szCs w:val="14"/>
            <w:u w:val="single" w:color="auto"/>
            <w:color w:val="0000EE"/>
          </w:rPr>
          <w:t>Consolidated statements of cash flows for the three months ended March 31, 2021 and March 31, 2020F-33</w:t>
        </w:r>
      </w:hyperlink>
    </w:p>
    <w:p>
      <w:pPr>
        <w:spacing w:after="0" w:line="3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840" w:type="dxa"/>
            <w:vAlign w:val="bottom"/>
            <w:tcBorders>
              <w:bottom w:val="single" w:sz="8" w:color="0000EE"/>
            </w:tcBorders>
          </w:tcPr>
          <w:p>
            <w:pPr>
              <w:spacing w:after="0"/>
              <w:rPr>
                <w:rFonts w:ascii="Arial" w:cs="Arial" w:eastAsia="Arial" w:hAnsi="Arial"/>
                <w:sz w:val="14"/>
                <w:szCs w:val="14"/>
                <w:color w:val="0000EE"/>
              </w:rPr>
            </w:pPr>
            <w:hyperlink w:anchor="page251">
              <w:r>
                <w:rPr>
                  <w:rFonts w:ascii="Arial" w:cs="Arial" w:eastAsia="Arial" w:hAnsi="Arial"/>
                  <w:sz w:val="14"/>
                  <w:szCs w:val="14"/>
                  <w:color w:val="0000EE"/>
                </w:rPr>
                <w:t>Notes to consolidated financial statements</w:t>
              </w:r>
            </w:hyperlink>
          </w:p>
        </w:tc>
        <w:tc>
          <w:tcPr>
            <w:tcW w:w="4060" w:type="dxa"/>
            <w:vAlign w:val="bottom"/>
          </w:tcPr>
          <w:p>
            <w:pPr>
              <w:spacing w:after="0"/>
              <w:rPr>
                <w:sz w:val="14"/>
                <w:szCs w:val="14"/>
                <w:color w:val="auto"/>
              </w:rPr>
            </w:pPr>
          </w:p>
        </w:tc>
        <w:tc>
          <w:tcPr>
            <w:tcW w:w="300" w:type="dxa"/>
            <w:vAlign w:val="bottom"/>
            <w:tcBorders>
              <w:bottom w:val="single" w:sz="8" w:color="0000EE"/>
            </w:tcBorders>
          </w:tcPr>
          <w:p>
            <w:pPr>
              <w:spacing w:after="0"/>
              <w:rPr>
                <w:rFonts w:ascii="Arial" w:cs="Arial" w:eastAsia="Arial" w:hAnsi="Arial"/>
                <w:sz w:val="14"/>
                <w:szCs w:val="14"/>
                <w:color w:val="0000EE"/>
                <w:w w:val="97"/>
              </w:rPr>
            </w:pPr>
            <w:hyperlink w:anchor="page251">
              <w:r>
                <w:rPr>
                  <w:rFonts w:ascii="Arial" w:cs="Arial" w:eastAsia="Arial" w:hAnsi="Arial"/>
                  <w:sz w:val="14"/>
                  <w:szCs w:val="14"/>
                  <w:color w:val="0000EE"/>
                  <w:w w:val="97"/>
                </w:rPr>
                <w:t>F-34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2021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(unaudited)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79,483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103,459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Escrow deposits, 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1,980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color w:val="auto"/>
              </w:rPr>
              <w:t>185,299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78,797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20,657</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right-of-use asset,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12,460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Escrow deposits, non-current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723</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63,138</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Security deposits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1,142</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shd w:val="clear" w:color="auto" w:fill="CCEEFF"/>
          </w:tcPr>
          <w:p>
            <w:pPr>
              <w:ind w:left="260"/>
              <w:spacing w:after="0" w:line="141"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286,055</w:t>
            </w:r>
          </w:p>
        </w:tc>
        <w:tc>
          <w:tcPr>
            <w:tcW w:w="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106,776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spacing w:after="0" w:line="142"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8,816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3,815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Deposit liability</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281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b w:val="1"/>
                <w:bCs w:val="1"/>
                <w:color w:val="auto"/>
              </w:rPr>
              <w:t>12,912</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14,745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Deposit liability, non-current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Long-term debt, net</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9,711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9,636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38,223</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33,427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Commitments and contingencies (Note 11)</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9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A,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35,000,000 shares authorized,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34,922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Non-cumulative convertible preferred stock, Series B, $0.0001 par value,</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26,143,790 shares authorized, issued and outstanding at March 31,</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144,839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C,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24,721,999 and 0 shares authorized, issued and outstanding at</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159,628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80" w:type="dxa"/>
            <w:vAlign w:val="bottom"/>
          </w:tcPr>
          <w:p>
            <w:pPr>
              <w:spacing w:after="0" w:line="139" w:lineRule="exact"/>
              <w:rPr>
                <w:sz w:val="20"/>
                <w:szCs w:val="20"/>
                <w:color w:val="auto"/>
              </w:rPr>
            </w:pPr>
            <w:r>
              <w:rPr>
                <w:rFonts w:ascii="Arial" w:cs="Arial" w:eastAsia="Arial" w:hAnsi="Arial"/>
                <w:sz w:val="14"/>
                <w:szCs w:val="14"/>
                <w:color w:val="auto"/>
              </w:rPr>
              <w:t>Stockholders’ deficit:</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 125,236,190 shares authorized;</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7,872,533 and 7,481,861 shares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219,158</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receivable</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(310,690)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(292,342)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Total stockholders’ deficit</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(91,557)</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(106,412)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liabilities, convertible preferred stock and stockholders’ deficit</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shd w:val="clear" w:color="auto" w:fill="CCEEFF"/>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shd w:val="clear" w:color="auto" w:fill="CCEEFF"/>
              </w:rPr>
              <w:t>286,055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106,776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-135255</wp:posOffset>
            </wp:positionV>
            <wp:extent cx="310070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-2250440</wp:posOffset>
            </wp:positionV>
            <wp:extent cx="310070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-2658110</wp:posOffset>
            </wp:positionV>
            <wp:extent cx="310070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-3277235</wp:posOffset>
            </wp:positionV>
            <wp:extent cx="310070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-4093210</wp:posOffset>
            </wp:positionV>
            <wp:extent cx="310070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-4705350</wp:posOffset>
            </wp:positionV>
            <wp:extent cx="310070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100705" cy="6985"/>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 2020</w:t>
            </w: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(unaudited)</w:t>
            </w:r>
          </w:p>
        </w:tc>
        <w:tc>
          <w:tcPr>
            <w:tcW w:w="6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(unaudited)</w:t>
            </w:r>
          </w:p>
        </w:tc>
      </w:tr>
      <w:tr>
        <w:trPr>
          <w:trHeight w:val="193"/>
        </w:trPr>
        <w:tc>
          <w:tcPr>
            <w:tcW w:w="20" w:type="dxa"/>
            <w:vAlign w:val="bottom"/>
          </w:tcPr>
          <w:p>
            <w:pPr>
              <w:spacing w:after="0"/>
              <w:rPr>
                <w:sz w:val="16"/>
                <w:szCs w:val="16"/>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15,374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7,943</w:t>
            </w:r>
          </w:p>
        </w:tc>
        <w:tc>
          <w:tcPr>
            <w:tcW w:w="4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6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Net loss per common share</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 outstanding</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7,677,196</w:t>
            </w: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6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Unrealized (loss) gain on short-term investments</w:t>
            </w:r>
          </w:p>
        </w:tc>
        <w:tc>
          <w:tcPr>
            <w:tcW w:w="6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6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(18,371)</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(9,646)</w:t>
            </w:r>
          </w:p>
        </w:tc>
        <w:tc>
          <w:tcPr>
            <w:tcW w:w="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-12700</wp:posOffset>
            </wp:positionV>
            <wp:extent cx="2032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230505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230505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-1297940</wp:posOffset>
            </wp:positionV>
            <wp:extent cx="2032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-1678940</wp:posOffset>
            </wp:positionV>
            <wp:extent cx="230505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-1801495</wp:posOffset>
            </wp:positionV>
            <wp:extent cx="2032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-2182495</wp:posOffset>
            </wp:positionV>
            <wp:extent cx="230505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050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28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 (unaudited)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72390</wp:posOffset>
            </wp:positionV>
            <wp:extent cx="6582410" cy="133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582410" cy="13335"/>
                    </a:xfrm>
                    <a:prstGeom prst="rect">
                      <a:avLst/>
                    </a:prstGeom>
                    <a:noFill/>
                  </pic:spPr>
                </pic:pic>
              </a:graphicData>
            </a:graphic>
          </wp:anchor>
        </w:drawing>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1140" w:type="dxa"/>
            <w:vAlign w:val="bottom"/>
            <w:gridSpan w:val="2"/>
            <w:vMerge w:val="restart"/>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Series B</w:t>
            </w:r>
          </w:p>
        </w:tc>
        <w:tc>
          <w:tcPr>
            <w:tcW w:w="112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000" w:type="dxa"/>
            <w:vAlign w:val="bottom"/>
            <w:gridSpan w:val="2"/>
            <w:vMerge w:val="restart"/>
          </w:tcPr>
          <w:p>
            <w:pPr>
              <w:jc w:val="right"/>
              <w:ind w:right="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vMerge w:val="restart"/>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restart"/>
          </w:tcPr>
          <w:p>
            <w:pPr>
              <w:spacing w:after="0" w:line="107" w:lineRule="exact"/>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4"/>
                <w:szCs w:val="4"/>
                <w:color w:val="auto"/>
              </w:rPr>
            </w:pPr>
          </w:p>
        </w:tc>
        <w:tc>
          <w:tcPr>
            <w:tcW w:w="560" w:type="dxa"/>
            <w:vAlign w:val="bottom"/>
            <w:gridSpan w:val="2"/>
            <w:vMerge w:val="restart"/>
          </w:tcPr>
          <w:p>
            <w:pPr>
              <w:jc w:val="right"/>
              <w:ind w:right="80"/>
              <w:spacing w:after="0" w:line="10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43"/>
              <w:spacing w:after="0" w:line="120" w:lineRule="exact"/>
              <w:rPr>
                <w:sz w:val="20"/>
                <w:szCs w:val="20"/>
                <w:color w:val="auto"/>
              </w:rPr>
            </w:pPr>
            <w:r>
              <w:rPr>
                <w:rFonts w:ascii="Arial" w:cs="Arial" w:eastAsia="Arial" w:hAnsi="Arial"/>
                <w:sz w:val="11"/>
                <w:szCs w:val="11"/>
                <w:b w:val="1"/>
                <w:bCs w:val="1"/>
                <w:color w:val="auto"/>
              </w:rPr>
              <w:t>Preferred Stock</w:t>
            </w:r>
          </w:p>
        </w:tc>
        <w:tc>
          <w:tcPr>
            <w:tcW w:w="1000" w:type="dxa"/>
            <w:vAlign w:val="bottom"/>
            <w:gridSpan w:val="2"/>
            <w:vMerge w:val="restart"/>
          </w:tcPr>
          <w:p>
            <w:pPr>
              <w:jc w:val="right"/>
              <w:spacing w:after="0" w:line="120" w:lineRule="exact"/>
              <w:rPr>
                <w:sz w:val="20"/>
                <w:szCs w:val="20"/>
                <w:color w:val="auto"/>
              </w:rPr>
            </w:pPr>
            <w:r>
              <w:rPr>
                <w:rFonts w:ascii="Arial" w:cs="Arial" w:eastAsia="Arial" w:hAnsi="Arial"/>
                <w:sz w:val="11"/>
                <w:szCs w:val="11"/>
                <w:b w:val="1"/>
                <w:bCs w:val="1"/>
                <w:color w:val="auto"/>
              </w:rPr>
              <w:t>Preferred Stock</w:t>
            </w:r>
          </w:p>
        </w:tc>
        <w:tc>
          <w:tcPr>
            <w:tcW w:w="1120" w:type="dxa"/>
            <w:vAlign w:val="bottom"/>
            <w:gridSpan w:val="2"/>
            <w:vMerge w:val="restart"/>
          </w:tcPr>
          <w:p>
            <w:pPr>
              <w:jc w:val="right"/>
              <w:ind w:right="3"/>
              <w:spacing w:after="0" w:line="120" w:lineRule="exact"/>
              <w:rPr>
                <w:sz w:val="20"/>
                <w:szCs w:val="20"/>
                <w:color w:val="auto"/>
              </w:rPr>
            </w:pPr>
            <w:r>
              <w:rPr>
                <w:rFonts w:ascii="Arial" w:cs="Arial" w:eastAsia="Arial" w:hAnsi="Arial"/>
                <w:sz w:val="11"/>
                <w:szCs w:val="11"/>
                <w:b w:val="1"/>
                <w:bCs w:val="1"/>
                <w:color w:val="auto"/>
              </w:rPr>
              <w:t>Preferred Stock</w:t>
            </w:r>
          </w:p>
        </w:tc>
        <w:tc>
          <w:tcPr>
            <w:tcW w:w="940" w:type="dxa"/>
            <w:vAlign w:val="bottom"/>
            <w:gridSpan w:val="3"/>
            <w:vMerge w:val="restart"/>
          </w:tcPr>
          <w:p>
            <w:pPr>
              <w:jc w:val="right"/>
              <w:spacing w:after="0" w:line="120"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00" w:type="dxa"/>
            <w:vAlign w:val="bottom"/>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120" w:type="dxa"/>
            <w:vAlign w:val="bottom"/>
            <w:tcBorders>
              <w:bottom w:val="single" w:sz="8" w:color="auto"/>
            </w:tcBorders>
            <w:gridSpan w:val="2"/>
            <w:vMerge w:val="continue"/>
          </w:tcPr>
          <w:p>
            <w:pPr>
              <w:spacing w:after="0"/>
              <w:rPr>
                <w:sz w:val="7"/>
                <w:szCs w:val="7"/>
                <w:color w:val="auto"/>
              </w:rPr>
            </w:pPr>
          </w:p>
        </w:tc>
        <w:tc>
          <w:tcPr>
            <w:tcW w:w="94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40" w:type="dxa"/>
            <w:vAlign w:val="bottom"/>
            <w:gridSpan w:val="5"/>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20" w:type="dxa"/>
            <w:vAlign w:val="bottom"/>
            <w:gridSpan w:val="5"/>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SharesAmount</w:t>
            </w: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Shares Amount</w:t>
            </w:r>
          </w:p>
        </w:tc>
        <w:tc>
          <w:tcPr>
            <w:tcW w:w="112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Shares Amount</w:t>
            </w: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b w:val="1"/>
                <w:bCs w:val="1"/>
                <w:color w:val="auto"/>
              </w:rPr>
              <w:t>Capital</w:t>
            </w:r>
          </w:p>
        </w:tc>
        <w:tc>
          <w:tcPr>
            <w:tcW w:w="80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b w:val="1"/>
                <w:bCs w:val="1"/>
                <w:color w:val="auto"/>
              </w:rPr>
              <w:t>Deficit</w:t>
            </w:r>
          </w:p>
        </w:tc>
        <w:tc>
          <w:tcPr>
            <w:tcW w:w="102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80" w:type="dxa"/>
            <w:vAlign w:val="bottom"/>
            <w:tcBorders>
              <w:top w:val="single" w:sz="8" w:color="auto"/>
            </w:tcBorders>
            <w:gridSpan w:val="2"/>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217,832</w:t>
            </w:r>
          </w:p>
        </w:tc>
        <w:tc>
          <w:tcPr>
            <w:tcW w:w="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(31,900)</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(292,342)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Receipt of subscription receivable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31,900</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31,900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Issuance of Series C preferred stock, net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24,721,999</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159,628</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Net assets contributed as result of</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1,061</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merger</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40,790</w:t>
            </w:r>
          </w:p>
        </w:tc>
        <w:tc>
          <w:tcPr>
            <w:tcW w:w="2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47</w:t>
            </w:r>
          </w:p>
        </w:tc>
        <w:tc>
          <w:tcPr>
            <w:tcW w:w="2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5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Vesting of restricted stock</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150,799</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Vesting of early exercise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199,083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Unrealized loss on short-term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83"/>
              <w:spacing w:after="0"/>
              <w:rPr>
                <w:sz w:val="20"/>
                <w:szCs w:val="20"/>
                <w:color w:val="auto"/>
              </w:rPr>
            </w:pPr>
            <w:r>
              <w:rPr>
                <w:rFonts w:ascii="Arial" w:cs="Arial" w:eastAsia="Arial" w:hAnsi="Arial"/>
                <w:sz w:val="11"/>
                <w:szCs w:val="11"/>
                <w:color w:val="auto"/>
              </w:rPr>
              <w:t>(27)</w:t>
            </w:r>
          </w:p>
        </w:tc>
        <w:tc>
          <w:tcPr>
            <w:tcW w:w="14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95</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(18,348)</w:t>
            </w:r>
          </w:p>
        </w:tc>
        <w:tc>
          <w:tcPr>
            <w:tcW w:w="6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20"/>
                <w:szCs w:val="20"/>
                <w:color w:val="auto"/>
              </w:rPr>
            </w:pPr>
            <w:r>
              <w:rPr>
                <w:rFonts w:ascii="Arial" w:cs="Arial" w:eastAsia="Arial" w:hAnsi="Arial"/>
                <w:sz w:val="11"/>
                <w:szCs w:val="11"/>
                <w:b w:val="1"/>
                <w:bCs w:val="1"/>
                <w:color w:val="auto"/>
              </w:rPr>
              <w:t>Balance,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24,721,999$</w:t>
            </w:r>
          </w:p>
        </w:tc>
        <w:tc>
          <w:tcPr>
            <w:tcW w:w="10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1"/>
                <w:szCs w:val="11"/>
                <w:b w:val="1"/>
                <w:bCs w:val="1"/>
                <w:color w:val="auto"/>
              </w:rPr>
              <w:t>159,628 7,872,533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219,158</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(310,690)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(26)</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-1393190</wp:posOffset>
            </wp:positionV>
            <wp:extent cx="139382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93825" cy="6985"/>
                    </a:xfrm>
                    <a:prstGeom prst="rect">
                      <a:avLst/>
                    </a:prstGeom>
                    <a:noFill/>
                  </pic:spPr>
                </pic:pic>
              </a:graphicData>
            </a:graphic>
          </wp:anchor>
        </w:drawing>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1600" w:type="dxa"/>
            <w:vAlign w:val="bottom"/>
          </w:tcPr>
          <w:p>
            <w:pPr>
              <w:spacing w:after="0"/>
              <w:rPr>
                <w:sz w:val="12"/>
                <w:szCs w:val="12"/>
                <w:color w:val="auto"/>
              </w:rPr>
            </w:pPr>
          </w:p>
        </w:tc>
        <w:tc>
          <w:tcPr>
            <w:tcW w:w="114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12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Series B</w:t>
            </w:r>
          </w:p>
        </w:tc>
        <w:tc>
          <w:tcPr>
            <w:tcW w:w="300" w:type="dxa"/>
            <w:vAlign w:val="bottom"/>
          </w:tcPr>
          <w:p>
            <w:pPr>
              <w:spacing w:after="0"/>
              <w:rPr>
                <w:sz w:val="12"/>
                <w:szCs w:val="1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tcPr>
          <w:p>
            <w:pPr>
              <w:jc w:val="right"/>
              <w:ind w:right="103"/>
              <w:spacing w:after="0" w:line="107" w:lineRule="exact"/>
              <w:rPr>
                <w:sz w:val="20"/>
                <w:szCs w:val="20"/>
                <w:color w:val="auto"/>
              </w:rPr>
            </w:pPr>
            <w:r>
              <w:rPr>
                <w:rFonts w:ascii="Arial" w:cs="Arial" w:eastAsia="Arial" w:hAnsi="Arial"/>
                <w:sz w:val="11"/>
                <w:szCs w:val="11"/>
                <w:b w:val="1"/>
                <w:bCs w:val="1"/>
                <w:color w:val="auto"/>
              </w:rPr>
              <w:t>Convertible</w:t>
            </w:r>
          </w:p>
        </w:tc>
        <w:tc>
          <w:tcPr>
            <w:tcW w:w="88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1640" w:type="dxa"/>
            <w:vAlign w:val="bottom"/>
            <w:gridSpan w:val="5"/>
            <w:vMerge w:val="restart"/>
          </w:tcPr>
          <w:p>
            <w:pPr>
              <w:jc w:val="right"/>
              <w:ind w:right="65"/>
              <w:spacing w:after="0" w:line="214" w:lineRule="exact"/>
              <w:rPr>
                <w:sz w:val="20"/>
                <w:szCs w:val="20"/>
                <w:color w:val="auto"/>
              </w:rPr>
            </w:pPr>
            <w:r>
              <w:rPr>
                <w:rFonts w:ascii="Arial" w:cs="Arial" w:eastAsia="Arial" w:hAnsi="Arial"/>
                <w:sz w:val="11"/>
                <w:szCs w:val="11"/>
                <w:b w:val="1"/>
                <w:bCs w:val="1"/>
                <w:color w:val="auto"/>
                <w:w w:val="96"/>
              </w:rPr>
              <w:t xml:space="preserve">Common Stock </w:t>
            </w:r>
            <w:r>
              <w:rPr>
                <w:rFonts w:ascii="Arial" w:cs="Arial" w:eastAsia="Arial" w:hAnsi="Arial"/>
                <w:sz w:val="22"/>
                <w:szCs w:val="22"/>
                <w:b w:val="1"/>
                <w:bCs w:val="1"/>
                <w:color w:val="auto"/>
                <w:w w:val="96"/>
                <w:vertAlign w:val="superscript"/>
              </w:rPr>
              <w:t>Additional</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jc w:val="center"/>
              <w:ind w:left="285"/>
              <w:spacing w:after="0" w:line="107"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Preferred Stock</w:t>
            </w:r>
          </w:p>
        </w:tc>
        <w:tc>
          <w:tcPr>
            <w:tcW w:w="2000" w:type="dxa"/>
            <w:vAlign w:val="bottom"/>
            <w:gridSpan w:val="4"/>
          </w:tcPr>
          <w:p>
            <w:pPr>
              <w:jc w:val="right"/>
              <w:ind w:right="3"/>
              <w:spacing w:after="0" w:line="107" w:lineRule="exact"/>
              <w:rPr>
                <w:sz w:val="20"/>
                <w:szCs w:val="20"/>
                <w:color w:val="auto"/>
              </w:rPr>
            </w:pPr>
            <w:r>
              <w:rPr>
                <w:rFonts w:ascii="Arial" w:cs="Arial" w:eastAsia="Arial" w:hAnsi="Arial"/>
                <w:sz w:val="11"/>
                <w:szCs w:val="11"/>
                <w:b w:val="1"/>
                <w:bCs w:val="1"/>
                <w:color w:val="auto"/>
              </w:rPr>
              <w:t>Preferred Stock Preferred Stock</w:t>
            </w:r>
          </w:p>
        </w:tc>
        <w:tc>
          <w:tcPr>
            <w:tcW w:w="16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3"/>
          </w:tcPr>
          <w:p>
            <w:pPr>
              <w:jc w:val="right"/>
              <w:ind w:right="103"/>
              <w:spacing w:after="0" w:line="107" w:lineRule="exact"/>
              <w:rPr>
                <w:sz w:val="20"/>
                <w:szCs w:val="20"/>
                <w:color w:val="auto"/>
              </w:rPr>
            </w:pPr>
            <w:r>
              <w:rPr>
                <w:rFonts w:ascii="Arial" w:cs="Arial" w:eastAsia="Arial" w:hAnsi="Arial"/>
                <w:sz w:val="11"/>
                <w:szCs w:val="11"/>
                <w:b w:val="1"/>
                <w:bCs w:val="1"/>
                <w:color w:val="auto"/>
              </w:rPr>
              <w:t>Comprehensive</w:t>
            </w:r>
          </w:p>
        </w:tc>
        <w:tc>
          <w:tcPr>
            <w:tcW w:w="2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6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gridSpan w:val="5"/>
            <w:vMerge w:val="restart"/>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60" w:type="dxa"/>
            <w:vAlign w:val="bottom"/>
            <w:gridSpan w:val="5"/>
            <w:vMerge w:val="restart"/>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114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SharesAmount</w:t>
            </w:r>
          </w:p>
        </w:tc>
        <w:tc>
          <w:tcPr>
            <w:tcW w:w="14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Shares AmountShares</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line="20" w:lineRule="exact"/>
              <w:rPr>
                <w:sz w:val="1"/>
                <w:szCs w:val="1"/>
                <w:color w:val="auto"/>
              </w:rPr>
            </w:pPr>
          </w:p>
        </w:tc>
        <w:tc>
          <w:tcPr>
            <w:tcW w:w="2160" w:type="dxa"/>
            <w:vAlign w:val="bottom"/>
            <w:gridSpan w:val="5"/>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b w:val="1"/>
                <w:bCs w:val="1"/>
                <w:color w:val="auto"/>
              </w:rPr>
              <w:t>Capital</w:t>
            </w:r>
          </w:p>
        </w:tc>
        <w:tc>
          <w:tcPr>
            <w:tcW w:w="78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200" w:type="dxa"/>
            <w:vAlign w:val="bottom"/>
          </w:tcPr>
          <w:p>
            <w:pPr>
              <w:spacing w:after="0"/>
              <w:rPr>
                <w:sz w:val="13"/>
                <w:szCs w:val="13"/>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auto"/>
              </w:rPr>
              <w:t>Deficit</w:t>
            </w:r>
          </w:p>
        </w:tc>
        <w:tc>
          <w:tcPr>
            <w:tcW w:w="980" w:type="dxa"/>
            <w:vAlign w:val="bottom"/>
            <w:gridSpan w:val="2"/>
          </w:tcPr>
          <w:p>
            <w:pPr>
              <w:jc w:val="center"/>
              <w:ind w:left="325"/>
              <w:spacing w:after="0"/>
              <w:rPr>
                <w:sz w:val="20"/>
                <w:szCs w:val="20"/>
                <w:color w:val="auto"/>
              </w:rPr>
            </w:pPr>
            <w:r>
              <w:rPr>
                <w:rFonts w:ascii="Arial" w:cs="Arial" w:eastAsia="Arial" w:hAnsi="Arial"/>
                <w:sz w:val="11"/>
                <w:szCs w:val="11"/>
                <w:b w:val="1"/>
                <w:bCs w:val="1"/>
                <w:color w:val="auto"/>
              </w:rPr>
              <w:t>(Loss)</w:t>
            </w:r>
          </w:p>
        </w:tc>
        <w:tc>
          <w:tcPr>
            <w:tcW w:w="2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1"/>
        </w:trPr>
        <w:tc>
          <w:tcPr>
            <w:tcW w:w="1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216,910</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(238,767)</w:t>
            </w:r>
          </w:p>
        </w:tc>
        <w:tc>
          <w:tcPr>
            <w:tcW w:w="720" w:type="dxa"/>
            <w:vAlign w:val="bottom"/>
            <w:tcBorders>
              <w:top w:val="single" w:sz="8" w:color="auto"/>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(3)</w:t>
            </w: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line="122" w:lineRule="exact"/>
              <w:rPr>
                <w:sz w:val="20"/>
                <w:szCs w:val="20"/>
                <w:color w:val="auto"/>
              </w:rPr>
            </w:pPr>
            <w:r>
              <w:rPr>
                <w:rFonts w:ascii="Arial" w:cs="Arial" w:eastAsia="Arial" w:hAnsi="Arial"/>
                <w:sz w:val="11"/>
                <w:szCs w:val="11"/>
                <w:color w:val="auto"/>
              </w:rPr>
              <w:t>Unrealized gain on short-term</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0"/>
                <w:szCs w:val="10"/>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1"/>
                <w:szCs w:val="11"/>
                <w:color w:val="auto"/>
                <w:w w:val="97"/>
              </w:rPr>
              <w:t>27</w:t>
            </w:r>
          </w:p>
        </w:tc>
        <w:tc>
          <w:tcPr>
            <w:tcW w:w="2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spacing w:after="0"/>
              <w:rPr>
                <w:sz w:val="20"/>
                <w:szCs w:val="20"/>
                <w:color w:val="auto"/>
              </w:rPr>
            </w:pPr>
            <w:r>
              <w:rPr>
                <w:rFonts w:ascii="Arial" w:cs="Arial" w:eastAsia="Arial" w:hAnsi="Arial"/>
                <w:sz w:val="11"/>
                <w:szCs w:val="11"/>
                <w:color w:val="auto"/>
              </w:rPr>
              <w:t>Stock 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221</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ind w:left="160"/>
              <w:spacing w:after="0"/>
              <w:rPr>
                <w:sz w:val="20"/>
                <w:szCs w:val="20"/>
                <w:color w:val="auto"/>
              </w:rPr>
            </w:pPr>
            <w:r>
              <w:rPr>
                <w:rFonts w:ascii="Arial" w:cs="Arial" w:eastAsia="Arial" w:hAnsi="Arial"/>
                <w:sz w:val="11"/>
                <w:szCs w:val="11"/>
                <w:color w:val="auto"/>
              </w:rPr>
              <w:t>—</w:t>
            </w: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(9,673)</w:t>
            </w:r>
          </w:p>
        </w:tc>
        <w:tc>
          <w:tcPr>
            <w:tcW w:w="720" w:type="dxa"/>
            <w:vAlign w:val="bottom"/>
          </w:tcPr>
          <w:p>
            <w:pPr>
              <w:spacing w:after="0"/>
              <w:rPr>
                <w:sz w:val="13"/>
                <w:szCs w:val="13"/>
                <w:color w:val="auto"/>
              </w:rPr>
            </w:pPr>
          </w:p>
        </w:tc>
        <w:tc>
          <w:tcPr>
            <w:tcW w:w="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(9,673)</w:t>
            </w:r>
          </w:p>
        </w:tc>
        <w:tc>
          <w:tcPr>
            <w:tcW w:w="0" w:type="dxa"/>
            <w:vAlign w:val="bottom"/>
          </w:tcPr>
          <w:p>
            <w:pPr>
              <w:spacing w:after="0"/>
              <w:rPr>
                <w:sz w:val="1"/>
                <w:szCs w:val="1"/>
                <w:color w:val="auto"/>
              </w:rPr>
            </w:pPr>
          </w:p>
        </w:tc>
      </w:tr>
      <w:tr>
        <w:trPr>
          <w:trHeight w:val="146"/>
        </w:trPr>
        <w:tc>
          <w:tcPr>
            <w:tcW w:w="1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March 31, 2020</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217,131</w:t>
            </w:r>
          </w:p>
        </w:tc>
        <w:tc>
          <w:tcPr>
            <w:tcW w:w="2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(248,440)</w:t>
            </w:r>
          </w:p>
        </w:tc>
        <w:tc>
          <w:tcPr>
            <w:tcW w:w="720" w:type="dxa"/>
            <w:vAlign w:val="bottom"/>
            <w:tcBorders>
              <w:top w:val="single" w:sz="8" w:color="auto"/>
              <w:bottom w:val="single" w:sz="8" w:color="CCEEFF"/>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24</w:t>
            </w:r>
          </w:p>
        </w:tc>
        <w:tc>
          <w:tcPr>
            <w:tcW w:w="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(101,284)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-128270</wp:posOffset>
            </wp:positionV>
            <wp:extent cx="101981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1981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-624840</wp:posOffset>
            </wp:positionV>
            <wp:extent cx="101981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1981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7063740"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080"/>
          </w:cols>
          <w:pgMar w:left="400" w:top="134" w:right="419" w:bottom="1440" w:gutter="0" w:footer="0" w:header="0"/>
        </w:sectPr>
      </w:pPr>
    </w:p>
    <w:bookmarkStart w:id="250" w:name="page251"/>
    <w:bookmarkEnd w:id="25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95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(unaudited)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gridSpan w:val="2"/>
          </w:tcPr>
          <w:p>
            <w:pPr>
              <w:jc w:val="right"/>
              <w:ind w:right="189"/>
              <w:spacing w:after="0"/>
              <w:rPr>
                <w:sz w:val="20"/>
                <w:szCs w:val="20"/>
                <w:color w:val="auto"/>
              </w:rPr>
            </w:pPr>
            <w:r>
              <w:rPr>
                <w:rFonts w:ascii="Arial" w:cs="Arial" w:eastAsia="Arial" w:hAnsi="Arial"/>
                <w:sz w:val="13"/>
                <w:szCs w:val="13"/>
                <w:b w:val="1"/>
                <w:bCs w:val="1"/>
                <w:color w:val="auto"/>
              </w:rPr>
              <w:t>March 31, 2021</w:t>
            </w: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(unaudited)</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718</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Non-cash operating lease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230</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Change in operating assets and liabilities: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173</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Operating lease liability</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127</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(4,938)</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ind w:left="420"/>
              <w:spacing w:after="0" w:line="151"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9"/>
              <w:spacing w:after="0" w:line="151" w:lineRule="exact"/>
              <w:rPr>
                <w:sz w:val="20"/>
                <w:szCs w:val="20"/>
                <w:color w:val="auto"/>
              </w:rPr>
            </w:pPr>
            <w:r>
              <w:rPr>
                <w:rFonts w:ascii="Arial" w:cs="Arial" w:eastAsia="Arial" w:hAnsi="Arial"/>
                <w:sz w:val="14"/>
                <w:szCs w:val="14"/>
                <w:b w:val="1"/>
                <w:bCs w:val="1"/>
                <w:color w:val="auto"/>
              </w:rPr>
              <w:t>(22,179)</w:t>
            </w:r>
          </w:p>
        </w:tc>
        <w:tc>
          <w:tcPr>
            <w:tcW w:w="6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(6,884)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(1,884)</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for purchase of fixed maturity securities, available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for sale</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(124,850)</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fixed maturity securities, available for sale</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7,700</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line="151" w:lineRule="exact"/>
              <w:rPr>
                <w:sz w:val="20"/>
                <w:szCs w:val="20"/>
                <w:color w:val="auto"/>
              </w:rPr>
            </w:pPr>
            <w:r>
              <w:rPr>
                <w:rFonts w:ascii="Arial" w:cs="Arial" w:eastAsia="Arial" w:hAnsi="Arial"/>
                <w:sz w:val="14"/>
                <w:szCs w:val="14"/>
                <w:b w:val="1"/>
                <w:bCs w:val="1"/>
                <w:color w:val="auto"/>
              </w:rPr>
              <w:t>(119,034)</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(4,178)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(554)</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early exercises of common stock options, net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of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138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subscription receivable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31,900</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issuance of Series C preferred stock, net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159,628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contributed as a result of merger</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2,326</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840" w:type="dxa"/>
            <w:vAlign w:val="bottom"/>
          </w:tcPr>
          <w:p>
            <w:pPr>
              <w:jc w:val="right"/>
              <w:ind w:right="129"/>
              <w:spacing w:after="0" w:line="151" w:lineRule="exact"/>
              <w:rPr>
                <w:sz w:val="20"/>
                <w:szCs w:val="20"/>
                <w:color w:val="auto"/>
              </w:rPr>
            </w:pPr>
            <w:r>
              <w:rPr>
                <w:rFonts w:ascii="Arial" w:cs="Arial" w:eastAsia="Arial" w:hAnsi="Arial"/>
                <w:sz w:val="14"/>
                <w:szCs w:val="14"/>
                <w:b w:val="1"/>
                <w:bCs w:val="1"/>
                <w:color w:val="auto"/>
              </w:rPr>
              <w:t>193,485</w:t>
            </w:r>
          </w:p>
        </w:tc>
        <w:tc>
          <w:tcPr>
            <w:tcW w:w="62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420"/>
              <w:spacing w:after="0" w:line="153" w:lineRule="exact"/>
              <w:rPr>
                <w:sz w:val="20"/>
                <w:szCs w:val="20"/>
                <w:color w:val="auto"/>
              </w:rPr>
            </w:pPr>
            <w:r>
              <w:rPr>
                <w:rFonts w:ascii="Arial" w:cs="Arial" w:eastAsia="Arial" w:hAnsi="Arial"/>
                <w:sz w:val="14"/>
                <w:szCs w:val="14"/>
                <w:b w:val="1"/>
                <w:bCs w:val="1"/>
                <w:color w:val="auto"/>
              </w:rPr>
              <w:t>Net increase (decrease) in cash, cash equivalents,</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and restricted cash</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52,272</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27,728</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Cash, cash equivalents and restricted cash, end of period</w:t>
            </w:r>
          </w:p>
        </w:tc>
        <w:tc>
          <w:tcPr>
            <w:tcW w:w="740" w:type="dxa"/>
            <w:vAlign w:val="bottom"/>
            <w:tcBorders>
              <w:bottom w:val="single" w:sz="8" w:color="auto"/>
            </w:tcBorders>
            <w:shd w:val="clear" w:color="auto" w:fill="CCEEFF"/>
          </w:tcPr>
          <w:p>
            <w:pPr>
              <w:jc w:val="right"/>
              <w:ind w:right="11"/>
              <w:spacing w:after="0" w:line="130"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0" w:lineRule="exact"/>
              <w:rPr>
                <w:sz w:val="20"/>
                <w:szCs w:val="20"/>
                <w:color w:val="auto"/>
              </w:rPr>
            </w:pPr>
            <w:r>
              <w:rPr>
                <w:rFonts w:ascii="Arial" w:cs="Arial" w:eastAsia="Arial" w:hAnsi="Arial"/>
                <w:sz w:val="14"/>
                <w:szCs w:val="14"/>
                <w:b w:val="1"/>
                <w:bCs w:val="1"/>
                <w:color w:val="auto"/>
              </w:rPr>
              <w:t>80,000</w:t>
            </w: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33,002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cash and non-cash operating</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31" w:lineRule="exact"/>
              <w:rPr>
                <w:sz w:val="20"/>
                <w:szCs w:val="20"/>
                <w:color w:val="auto"/>
              </w:rPr>
            </w:pPr>
            <w:r>
              <w:rPr>
                <w:rFonts w:ascii="Arial" w:cs="Arial" w:eastAsia="Arial" w:hAnsi="Arial"/>
                <w:sz w:val="14"/>
                <w:szCs w:val="14"/>
                <w:color w:val="auto"/>
              </w:rPr>
              <w:t>Cash paid for interest</w:t>
            </w:r>
          </w:p>
        </w:tc>
        <w:tc>
          <w:tcPr>
            <w:tcW w:w="740" w:type="dxa"/>
            <w:vAlign w:val="bottom"/>
            <w:tcBorders>
              <w:bottom w:val="single" w:sz="8" w:color="auto"/>
            </w:tcBorders>
            <w:shd w:val="clear" w:color="auto" w:fill="CCEEFF"/>
          </w:tcPr>
          <w:p>
            <w:pPr>
              <w:jc w:val="right"/>
              <w:ind w:right="11"/>
              <w:spacing w:after="0" w:line="13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1" w:lineRule="exact"/>
              <w:rPr>
                <w:sz w:val="20"/>
                <w:szCs w:val="20"/>
                <w:color w:val="auto"/>
              </w:rPr>
            </w:pPr>
            <w:r>
              <w:rPr>
                <w:rFonts w:ascii="Arial" w:cs="Arial" w:eastAsia="Arial" w:hAnsi="Arial"/>
                <w:sz w:val="14"/>
                <w:szCs w:val="14"/>
                <w:b w:val="1"/>
                <w:bCs w:val="1"/>
                <w:color w:val="auto"/>
              </w:rPr>
              <w:t>239</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non-cash investing and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Purchase of property and equipment, accrued and unpaid</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51" w:lineRule="exact"/>
              <w:rPr>
                <w:sz w:val="20"/>
                <w:szCs w:val="20"/>
                <w:color w:val="auto"/>
              </w:rPr>
            </w:pPr>
            <w:r>
              <w:rPr>
                <w:rFonts w:ascii="Arial" w:cs="Arial" w:eastAsia="Arial" w:hAnsi="Arial"/>
                <w:sz w:val="14"/>
                <w:szCs w:val="14"/>
                <w:b w:val="1"/>
                <w:bCs w:val="1"/>
                <w:color w:val="auto"/>
              </w:rPr>
              <w:t>4,107</w:t>
            </w: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Deferred offering cost, accrued and unpaid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11"/>
              <w:spacing w:after="0" w:line="154"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1,565</w:t>
            </w:r>
          </w:p>
        </w:tc>
        <w:tc>
          <w:tcPr>
            <w:tcW w:w="6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-923925</wp:posOffset>
            </wp:positionV>
            <wp:extent cx="269303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-2318385</wp:posOffset>
            </wp:positionV>
            <wp:extent cx="269303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-3073400</wp:posOffset>
            </wp:positionV>
            <wp:extent cx="269303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-4480560</wp:posOffset>
            </wp:positionV>
            <wp:extent cx="269303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93035" cy="6985"/>
                    </a:xfrm>
                    <a:prstGeom prst="rect">
                      <a:avLst/>
                    </a:prstGeom>
                    <a:noFill/>
                  </pic:spPr>
                </pic:pic>
              </a:graphicData>
            </a:graphic>
          </wp:anchor>
        </w:drawing>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(unaudited)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85"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88" w:lineRule="exact"/>
        <w:rPr>
          <w:sz w:val="20"/>
          <w:szCs w:val="20"/>
          <w:color w:val="auto"/>
        </w:rPr>
      </w:pPr>
    </w:p>
    <w:p>
      <w:pPr>
        <w:ind w:left="1240" w:right="1459"/>
        <w:spacing w:after="0" w:line="258"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3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Since inception, the Company has incurred net losses and negative cash flows from operations. During the three months ended March 31, 2021, the Company incurred a net loss of $18,348 and used $22,179 of cash for operations. During the three months ended March 31, 2020, the Company incurred a net loss of $9,673 and used $6,884 of cash for operations. Management expects to incur additional losses in the future to fund its operations and conduct product research and development and recognizes the need to raise additional capital to fully implement its business plan. As further described in Note 3, Prior Century obtained a cash capital commitment from Bayer totaling $215,000, from which net proceeds of $74,839 were received in June 2019, $38,100 were received in November 2020 and $31,900 were received in</w:t>
      </w:r>
    </w:p>
    <w:p>
      <w:pPr>
        <w:spacing w:after="0" w:line="16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January 2021. Bayer has no continuing obligation to invest any additional amounts under its commitment, which terminated on February 25, 2021. As further described in Note 9, the Company entered into a Loan Agreement pursuant to which it received net proceeds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of $9,734 in September 2020. Beginning January 1, 2021 and upon the achievement of certain development milestones and continuing through September 30, 2021 the Company may borrow an additional $10.0 million under the Loan Agreement. As described in Note 10,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08"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3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23"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2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2021 and 2020, the Company has not experienced any losses on its deposits of cash and cash equivalents.</w:t>
      </w:r>
    </w:p>
    <w:p>
      <w:pPr>
        <w:spacing w:after="0" w:line="10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95"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33" w:lineRule="exact"/>
        <w:rPr>
          <w:sz w:val="20"/>
          <w:szCs w:val="20"/>
          <w:color w:val="auto"/>
        </w:rPr>
      </w:pPr>
    </w:p>
    <w:p>
      <w:pPr>
        <w:ind w:left="1240" w:right="1499"/>
        <w:spacing w:after="0" w:line="258" w:lineRule="auto"/>
        <w:rPr>
          <w:sz w:val="20"/>
          <w:szCs w:val="20"/>
          <w:color w:val="auto"/>
        </w:rPr>
      </w:pPr>
      <w:r>
        <w:rPr>
          <w:rFonts w:ascii="Arial" w:cs="Arial" w:eastAsia="Arial" w:hAnsi="Arial"/>
          <w:sz w:val="14"/>
          <w:szCs w:val="14"/>
          <w:color w:val="auto"/>
        </w:rPr>
        <w:t>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The Company had $2,119 deferred offering costs recorded as of March 31, 2021. There were no deferred offering costs recorded as of December 31,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20" w:lineRule="exact"/>
        <w:rPr>
          <w:sz w:val="20"/>
          <w:szCs w:val="20"/>
          <w:color w:val="auto"/>
        </w:rPr>
      </w:pPr>
    </w:p>
    <w:p>
      <w:pPr>
        <w:ind w:left="1760" w:right="1719" w:hanging="513"/>
        <w:spacing w:after="0" w:line="286" w:lineRule="auto"/>
        <w:rPr>
          <w:sz w:val="20"/>
          <w:szCs w:val="20"/>
          <w:color w:val="auto"/>
        </w:rPr>
      </w:pPr>
      <w:r>
        <w:rPr>
          <w:rFonts w:ascii="Arial" w:cs="Arial" w:eastAsia="Arial" w:hAnsi="Arial"/>
          <w:sz w:val="14"/>
          <w:szCs w:val="14"/>
          <w:color w:val="auto"/>
        </w:rPr>
        <w:t>Level 1 Inputs that reflect unadjusted quoted prices in active markets for identical assets or liabilities that the Company has the ability to access at the measurement date;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right="1339" w:hanging="513"/>
        <w:spacing w:after="0" w:line="286"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760" w:right="1359" w:hanging="513"/>
        <w:spacing w:after="0" w:line="286" w:lineRule="auto"/>
        <w:rPr>
          <w:sz w:val="20"/>
          <w:szCs w:val="20"/>
          <w:color w:val="auto"/>
        </w:rPr>
      </w:pPr>
      <w:r>
        <w:rPr>
          <w:rFonts w:ascii="Arial" w:cs="Arial" w:eastAsia="Arial" w:hAnsi="Arial"/>
          <w:sz w:val="14"/>
          <w:szCs w:val="14"/>
          <w:color w:val="auto"/>
        </w:rPr>
        <w:t>Level 3 Inputs are unobservable in which there is little or no market data available, which require the reporting entity to develop its own assumptions that are unobservable.</w:t>
      </w:r>
    </w:p>
    <w:p>
      <w:pPr>
        <w:spacing w:after="0" w:line="8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33"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As of March 31, 2021 and December 31, 2020, the Company had $517 in cash on deposit to secure certain lease commitments. Restricted cash is recorded separately in the Company’s consolidated balance sheets.</w:t>
      </w:r>
    </w:p>
    <w:p>
      <w:pPr>
        <w:spacing w:after="0" w:line="103"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134485" cy="133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4"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$ 79,483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$ 27,211</w:t>
            </w:r>
          </w:p>
        </w:tc>
      </w:tr>
      <w:tr>
        <w:trPr>
          <w:trHeight w:val="187"/>
        </w:trPr>
        <w:tc>
          <w:tcPr>
            <w:tcW w:w="410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440" w:type="dxa"/>
            <w:vAlign w:val="bottom"/>
          </w:tcPr>
          <w:p>
            <w:pPr>
              <w:jc w:val="right"/>
              <w:ind w:right="330"/>
              <w:spacing w:after="0"/>
              <w:rPr>
                <w:sz w:val="20"/>
                <w:szCs w:val="20"/>
                <w:color w:val="auto"/>
              </w:rPr>
            </w:pPr>
            <w:r>
              <w:rPr>
                <w:rFonts w:ascii="Arial" w:cs="Arial" w:eastAsia="Arial" w:hAnsi="Arial"/>
                <w:sz w:val="14"/>
                <w:szCs w:val="14"/>
                <w:color w:val="auto"/>
              </w:rPr>
              <w:t>517</w:t>
            </w: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225"/>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4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$ 80,000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$ 27,728</w:t>
            </w: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59778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259778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778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33"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95"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79"/>
        <w:spacing w:after="0" w:line="278" w:lineRule="auto"/>
        <w:rPr>
          <w:sz w:val="20"/>
          <w:szCs w:val="20"/>
          <w:color w:val="auto"/>
        </w:rPr>
      </w:pPr>
      <w:r>
        <w:rPr>
          <w:rFonts w:ascii="Arial" w:cs="Arial" w:eastAsia="Arial" w:hAnsi="Arial"/>
          <w:sz w:val="14"/>
          <w:szCs w:val="14"/>
          <w:color w:val="auto"/>
        </w:rPr>
        <w:t>materials, supplies, rent, depreciation on and maintenance of research equipment, and the cost of services provided by outside contractors. All costs associated with research and development are expensed as incurred.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72" w:lineRule="auto"/>
        <w:tabs>
          <w:tab w:leader="none" w:pos="149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95"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91"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Basic and diluted net loss per common shares</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2021 and 2020.</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 exercised options</w:t>
      </w:r>
    </w:p>
    <w:p>
      <w:pPr>
        <w:spacing w:after="0" w:line="13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Company allows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2021, $1,136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76"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2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2021  December 31, 2020</w:t>
            </w:r>
          </w:p>
        </w:tc>
      </w:tr>
      <w:tr>
        <w:trPr>
          <w:trHeight w:val="182"/>
        </w:trPr>
        <w:tc>
          <w:tcPr>
            <w:tcW w:w="100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legally outstanding</w:t>
            </w:r>
          </w:p>
        </w:tc>
        <w:tc>
          <w:tcPr>
            <w:tcW w:w="12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9,727,754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8,865,992</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Less: unvested early exercised shares</w:t>
            </w:r>
          </w:p>
        </w:tc>
        <w:tc>
          <w:tcPr>
            <w:tcW w:w="2720" w:type="dxa"/>
            <w:vAlign w:val="bottom"/>
            <w:gridSpan w:val="2"/>
          </w:tcPr>
          <w:p>
            <w:pPr>
              <w:jc w:val="right"/>
              <w:ind w:right="272"/>
              <w:spacing w:after="0"/>
              <w:rPr>
                <w:sz w:val="20"/>
                <w:szCs w:val="20"/>
                <w:color w:val="auto"/>
              </w:rPr>
            </w:pPr>
            <w:r>
              <w:rPr>
                <w:rFonts w:ascii="Arial" w:cs="Arial" w:eastAsia="Arial" w:hAnsi="Arial"/>
                <w:sz w:val="14"/>
                <w:szCs w:val="14"/>
                <w:color w:val="auto"/>
              </w:rPr>
              <w:t>(952,518)</w:t>
            </w:r>
          </w:p>
        </w:tc>
        <w:tc>
          <w:tcPr>
            <w:tcW w:w="980" w:type="dxa"/>
            <w:vAlign w:val="bottom"/>
          </w:tcPr>
          <w:p>
            <w:pPr>
              <w:jc w:val="right"/>
              <w:spacing w:after="0"/>
              <w:rPr>
                <w:sz w:val="20"/>
                <w:szCs w:val="20"/>
                <w:color w:val="auto"/>
              </w:rPr>
            </w:pPr>
            <w:r>
              <w:rPr>
                <w:rFonts w:ascii="Arial" w:cs="Arial" w:eastAsia="Arial" w:hAnsi="Arial"/>
                <w:sz w:val="14"/>
                <w:szCs w:val="14"/>
                <w:color w:val="auto"/>
              </w:rPr>
              <w:t>(330,629)</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2"/>
          </w:tcPr>
          <w:p>
            <w:pPr>
              <w:jc w:val="right"/>
              <w:ind w:right="2072"/>
              <w:spacing w:after="0"/>
              <w:rPr>
                <w:sz w:val="20"/>
                <w:szCs w:val="20"/>
                <w:color w:val="auto"/>
              </w:rPr>
            </w:pPr>
            <w:r>
              <w:rPr>
                <w:rFonts w:ascii="Arial" w:cs="Arial" w:eastAsia="Arial" w:hAnsi="Arial"/>
                <w:sz w:val="14"/>
                <w:szCs w:val="14"/>
                <w:color w:val="auto"/>
              </w:rPr>
              <w:t>F-39</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9778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5"/>
        </w:trPr>
        <w:tc>
          <w:tcPr>
            <w:tcW w:w="20" w:type="dxa"/>
            <w:vAlign w:val="bottom"/>
          </w:tcPr>
          <w:p>
            <w:pPr>
              <w:spacing w:after="0"/>
              <w:rPr>
                <w:sz w:val="15"/>
                <w:szCs w:val="15"/>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unvested restricted stock</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(902,703)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40" w:type="dxa"/>
            <w:vAlign w:val="bottom"/>
          </w:tcPr>
          <w:p>
            <w:pPr>
              <w:spacing w:after="0"/>
              <w:rPr>
                <w:sz w:val="15"/>
                <w:szCs w:val="15"/>
                <w:color w:val="auto"/>
              </w:rPr>
            </w:pPr>
          </w:p>
        </w:tc>
      </w:tr>
      <w:tr>
        <w:trPr>
          <w:trHeight w:val="178"/>
        </w:trPr>
        <w:tc>
          <w:tcPr>
            <w:tcW w:w="4100" w:type="dxa"/>
            <w:vAlign w:val="bottom"/>
            <w:gridSpan w:val="3"/>
          </w:tcPr>
          <w:p>
            <w:pPr>
              <w:spacing w:after="0"/>
              <w:rPr>
                <w:sz w:val="20"/>
                <w:szCs w:val="20"/>
                <w:color w:val="auto"/>
              </w:rPr>
            </w:pPr>
            <w:r>
              <w:rPr>
                <w:rFonts w:ascii="Arial" w:cs="Arial" w:eastAsia="Arial" w:hAnsi="Arial"/>
                <w:sz w:val="14"/>
                <w:szCs w:val="14"/>
                <w:color w:val="auto"/>
              </w:rPr>
              <w:t>Total shares issued and outstanding</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7,872,533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259080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90800"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As of March 31, 2021, the number of restricted stock awards vested were 1,353,783.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$39, for the three months ended March 31, 2021 and 2020, in the statements of operations and comprehensive loss.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42"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33"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105"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99"/>
        <w:spacing w:after="0" w:line="270" w:lineRule="auto"/>
        <w:rPr>
          <w:sz w:val="20"/>
          <w:szCs w:val="20"/>
          <w:color w:val="auto"/>
        </w:rPr>
      </w:pPr>
      <w:r>
        <w:rPr>
          <w:rFonts w:ascii="Arial" w:cs="Arial" w:eastAsia="Arial" w:hAnsi="Arial"/>
          <w:sz w:val="14"/>
          <w:szCs w:val="14"/>
          <w:color w:val="auto"/>
        </w:rPr>
        <w:t>development (“IPR&amp;D”) asset. In an asset acquisition, the total transaction cost is allocated between the acquired identified tangible and intangible assets based on relative fair value.</w:t>
      </w:r>
    </w:p>
    <w:p>
      <w:pPr>
        <w:spacing w:after="0" w:line="88"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94615</wp:posOffset>
            </wp:positionV>
            <wp:extent cx="4134485" cy="133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205"/>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27787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7787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-917575</wp:posOffset>
            </wp:positionV>
            <wp:extent cx="327787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76"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March 31, 2021. Tranche 2 was eliminated in connection with the Series C preferred financing. See Note 10.</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12"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92"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changes in convertible preferred stock and stockholders’ deficit.</w:t>
      </w:r>
    </w:p>
    <w:p>
      <w:pPr>
        <w:spacing w:after="0" w:line="103"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97"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March 31, 2021 and December 31, 2020, accrued compensation expense on the promissory note was $407 and $282, which is presented within accrued expenses and other liabilities on the consolidated balance sheets.</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1"/>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56362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563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-652145</wp:posOffset>
            </wp:positionV>
            <wp:extent cx="356362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65"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519"/>
        <w:spacing w:after="0" w:line="260"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 There was no write off of in-process research and development asset for the three months ended March 31, 2021 and 2020.</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9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$75,686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75,686</w:t>
            </w:r>
          </w:p>
        </w:tc>
      </w:tr>
      <w:tr>
        <w:trPr>
          <w:trHeight w:val="181"/>
        </w:trPr>
        <w:tc>
          <w:tcPr>
            <w:tcW w:w="36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11,999</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11,999</w:t>
            </w:r>
          </w:p>
        </w:tc>
      </w:tr>
      <w:tr>
        <w:trPr>
          <w:trHeight w:val="22"/>
        </w:trPr>
        <w:tc>
          <w:tcPr>
            <w:tcW w:w="3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154,598</w:t>
            </w:r>
          </w:p>
        </w:tc>
      </w:tr>
      <w:tr>
        <w:trPr>
          <w:trHeight w:val="178"/>
        </w:trPr>
        <w:tc>
          <w:tcPr>
            <w:tcW w:w="3680" w:type="dxa"/>
            <w:vAlign w:val="bottom"/>
            <w:gridSpan w:val="2"/>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$87,685</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242,283</w:t>
            </w:r>
          </w:p>
        </w:tc>
      </w:t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232600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26005" cy="6985"/>
                    </a:xfrm>
                    <a:prstGeom prst="rect">
                      <a:avLst/>
                    </a:prstGeom>
                    <a:noFill/>
                  </pic:spPr>
                </pic:pic>
              </a:graphicData>
            </a:graphic>
          </wp:anchor>
        </w:drawing>
      </w:r>
    </w:p>
    <w:p>
      <w:pPr>
        <w:spacing w:after="0" w:line="6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4"/>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-529590</wp:posOffset>
            </wp:positionV>
            <wp:extent cx="24345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34590" cy="6985"/>
                    </a:xfrm>
                    <a:prstGeom prst="rect">
                      <a:avLst/>
                    </a:prstGeom>
                    <a:noFill/>
                  </pic:spPr>
                </pic:pic>
              </a:graphicData>
            </a:graphic>
          </wp:anchor>
        </w:drawing>
      </w:r>
    </w:p>
    <w:p>
      <w:pPr>
        <w:spacing w:after="0" w:line="65"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There were no transfers between levels during the period ended March 31, 2021. The Company uses the services of its investment manager, which uses widely accepted models for assumptions in valuing securities with inputs from major third-party data providers.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0" w:name="page261"/>
    <w:bookmarkEnd w:id="26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March 31, 2021:</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11,996</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11,999</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0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154,628</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154,598</w:t>
            </w:r>
          </w:p>
        </w:tc>
      </w:tr>
      <w:tr>
        <w:trPr>
          <w:trHeight w:val="180"/>
        </w:trPr>
        <w:tc>
          <w:tcPr>
            <w:tcW w:w="20" w:type="dxa"/>
            <w:vAlign w:val="bottom"/>
          </w:tcPr>
          <w:p>
            <w:pPr>
              <w:spacing w:after="0"/>
              <w:rPr>
                <w:sz w:val="15"/>
                <w:szCs w:val="15"/>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166,624</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166,597</w:t>
            </w:r>
          </w:p>
        </w:tc>
      </w:tr>
      <w:tr>
        <w:trPr>
          <w:trHeight w:val="21"/>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182245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-400685</wp:posOffset>
            </wp:positionV>
            <wp:extent cx="182245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8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5"/>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82245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182245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103,459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$ 48,542</w:t>
            </w:r>
          </w:p>
        </w:tc>
      </w:tr>
      <w:tr>
        <w:trPr>
          <w:trHeight w:val="187"/>
        </w:trPr>
        <w:tc>
          <w:tcPr>
            <w:tcW w:w="408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480" w:type="dxa"/>
            <w:vAlign w:val="bottom"/>
          </w:tcPr>
          <w:p>
            <w:pPr>
              <w:spacing w:after="0"/>
              <w:rPr>
                <w:sz w:val="16"/>
                <w:szCs w:val="16"/>
                <w:color w:val="auto"/>
              </w:rPr>
            </w:pPr>
          </w:p>
        </w:tc>
        <w:tc>
          <w:tcPr>
            <w:tcW w:w="980" w:type="dxa"/>
            <w:vAlign w:val="bottom"/>
          </w:tcPr>
          <w:p>
            <w:pPr>
              <w:jc w:val="right"/>
              <w:ind w:right="349"/>
              <w:spacing w:after="0"/>
              <w:rPr>
                <w:sz w:val="20"/>
                <w:szCs w:val="20"/>
                <w:color w:val="auto"/>
              </w:rPr>
            </w:pPr>
            <w:r>
              <w:rPr>
                <w:rFonts w:ascii="Arial" w:cs="Arial" w:eastAsia="Arial" w:hAnsi="Arial"/>
                <w:sz w:val="14"/>
                <w:szCs w:val="14"/>
                <w:color w:val="auto"/>
              </w:rPr>
              <w:t>63,138</w:t>
            </w:r>
          </w:p>
        </w:tc>
        <w:tc>
          <w:tcPr>
            <w:tcW w:w="980" w:type="dxa"/>
            <w:vAlign w:val="bottom"/>
          </w:tcPr>
          <w:p>
            <w:pPr>
              <w:jc w:val="right"/>
              <w:spacing w:after="0"/>
              <w:rPr>
                <w:sz w:val="20"/>
                <w:szCs w:val="20"/>
                <w:color w:val="auto"/>
              </w:rPr>
            </w:pPr>
            <w:r>
              <w:rPr>
                <w:rFonts w:ascii="Arial" w:cs="Arial" w:eastAsia="Arial" w:hAnsi="Arial"/>
                <w:sz w:val="14"/>
                <w:szCs w:val="14"/>
                <w:color w:val="auto"/>
              </w:rPr>
              <w:t>1,053</w:t>
            </w:r>
          </w:p>
        </w:tc>
      </w:tr>
      <w:tr>
        <w:trPr>
          <w:trHeight w:val="180"/>
        </w:trPr>
        <w:tc>
          <w:tcPr>
            <w:tcW w:w="20" w:type="dxa"/>
            <w:vAlign w:val="bottom"/>
          </w:tcPr>
          <w:p>
            <w:pPr>
              <w:spacing w:after="0"/>
              <w:rPr>
                <w:sz w:val="15"/>
                <w:szCs w:val="15"/>
                <w:color w:val="auto"/>
              </w:rPr>
            </w:pPr>
          </w:p>
        </w:tc>
        <w:tc>
          <w:tcPr>
            <w:tcW w:w="40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166,597</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$ 49,595</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57746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774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57746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77465" cy="6985"/>
                    </a:xfrm>
                    <a:prstGeom prst="rect">
                      <a:avLst/>
                    </a:prstGeom>
                    <a:noFill/>
                  </pic:spPr>
                </pic:pic>
              </a:graphicData>
            </a:graphic>
          </wp:anchor>
        </w:drawing>
      </w:r>
    </w:p>
    <w:p>
      <w:pPr>
        <w:spacing w:after="0" w:line="11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68"/>
        </w:trPr>
        <w:tc>
          <w:tcPr>
            <w:tcW w:w="1000" w:type="dxa"/>
            <w:vAlign w:val="bottom"/>
          </w:tcPr>
          <w:p>
            <w:pPr>
              <w:spacing w:after="0"/>
              <w:rPr>
                <w:sz w:val="14"/>
                <w:szCs w:val="14"/>
                <w:color w:val="auto"/>
              </w:rPr>
            </w:pPr>
          </w:p>
        </w:tc>
        <w:tc>
          <w:tcPr>
            <w:tcW w:w="46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130</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0" w:type="dxa"/>
            <w:vAlign w:val="bottom"/>
          </w:tcPr>
          <w:p>
            <w:pPr>
              <w:spacing w:after="0"/>
              <w:rPr>
                <w:sz w:val="14"/>
                <w:szCs w:val="14"/>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1,145</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Reimbursement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0" w:type="dxa"/>
            <w:vAlign w:val="bottom"/>
          </w:tcPr>
          <w:p>
            <w:pPr>
              <w:spacing w:after="0"/>
              <w:rPr>
                <w:sz w:val="15"/>
                <w:szCs w:val="15"/>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299</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0" w:type="dxa"/>
            <w:vAlign w:val="bottom"/>
          </w:tcPr>
          <w:p>
            <w:pPr>
              <w:spacing w:after="0"/>
              <w:rPr>
                <w:sz w:val="16"/>
                <w:szCs w:val="16"/>
                <w:color w:val="auto"/>
              </w:rPr>
            </w:pPr>
          </w:p>
        </w:tc>
      </w:tr>
      <w:tr>
        <w:trPr>
          <w:trHeight w:val="178"/>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Total prepaid expenses and other current assets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1,980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2,261</w:t>
            </w:r>
          </w:p>
        </w:tc>
        <w:tc>
          <w:tcPr>
            <w:tcW w:w="1000" w:type="dxa"/>
            <w:vAlign w:val="bottom"/>
          </w:tcPr>
          <w:p>
            <w:pPr>
              <w:spacing w:after="0"/>
              <w:rPr>
                <w:sz w:val="15"/>
                <w:szCs w:val="15"/>
                <w:color w:val="auto"/>
              </w:rPr>
            </w:pPr>
          </w:p>
        </w:tc>
      </w:tr>
      <w:tr>
        <w:trPr>
          <w:trHeight w:val="22"/>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25"/>
        </w:trPr>
        <w:tc>
          <w:tcPr>
            <w:tcW w:w="1000" w:type="dxa"/>
            <w:vAlign w:val="bottom"/>
          </w:tcPr>
          <w:p>
            <w:pPr>
              <w:spacing w:after="0"/>
              <w:rPr>
                <w:sz w:val="24"/>
                <w:szCs w:val="24"/>
                <w:color w:val="auto"/>
              </w:rPr>
            </w:pPr>
          </w:p>
        </w:tc>
        <w:tc>
          <w:tcPr>
            <w:tcW w:w="4680" w:type="dxa"/>
            <w:vAlign w:val="bottom"/>
          </w:tcPr>
          <w:p>
            <w:pPr>
              <w:ind w:left="3080"/>
              <w:spacing w:after="0"/>
              <w:rPr>
                <w:sz w:val="20"/>
                <w:szCs w:val="20"/>
                <w:color w:val="auto"/>
              </w:rPr>
            </w:pPr>
            <w:r>
              <w:rPr>
                <w:rFonts w:ascii="Arial" w:cs="Arial" w:eastAsia="Arial" w:hAnsi="Arial"/>
                <w:sz w:val="14"/>
                <w:szCs w:val="14"/>
                <w:color w:val="auto"/>
              </w:rPr>
              <w:t>F-43</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-1420495</wp:posOffset>
            </wp:positionV>
            <wp:extent cx="297878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978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11,427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40" w:type="dxa"/>
            <w:vAlign w:val="bottom"/>
          </w:tcPr>
          <w:p>
            <w:pPr>
              <w:spacing w:after="0"/>
              <w:rPr>
                <w:sz w:val="14"/>
                <w:szCs w:val="14"/>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7,746</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3,401</w:t>
            </w: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40" w:type="dxa"/>
            <w:vAlign w:val="bottom"/>
          </w:tcPr>
          <w:p>
            <w:pPr>
              <w:spacing w:after="0"/>
              <w:rPr>
                <w:sz w:val="15"/>
                <w:szCs w:val="15"/>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22,955</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16,966</w:t>
            </w:r>
          </w:p>
        </w:tc>
        <w:tc>
          <w:tcPr>
            <w:tcW w:w="40" w:type="dxa"/>
            <w:vAlign w:val="bottom"/>
          </w:tcPr>
          <w:p>
            <w:pPr>
              <w:spacing w:after="0"/>
              <w:rPr>
                <w:sz w:val="14"/>
                <w:szCs w:val="14"/>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20,657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4"/>
                <w:szCs w:val="1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-1039495</wp:posOffset>
            </wp:positionV>
            <wp:extent cx="295783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97"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Depreciation expense was $718 and $200 for the three months ended March 31, 2021 and 2020, respectively.</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868</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2,213</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596</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8"/>
        </w:trPr>
        <w:tc>
          <w:tcPr>
            <w:tcW w:w="4740" w:type="dxa"/>
            <w:vAlign w:val="bottom"/>
            <w:gridSpan w:val="2"/>
          </w:tcPr>
          <w:p>
            <w:pPr>
              <w:spacing w:after="0"/>
              <w:rPr>
                <w:sz w:val="20"/>
                <w:szCs w:val="20"/>
                <w:color w:val="auto"/>
              </w:rPr>
            </w:pPr>
            <w:r>
              <w:rPr>
                <w:rFonts w:ascii="Arial" w:cs="Arial" w:eastAsia="Arial" w:hAnsi="Arial"/>
                <w:sz w:val="14"/>
                <w:szCs w:val="14"/>
                <w:color w:val="auto"/>
              </w:rPr>
              <w:t>Total accrued expenses and other liabilities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3,815</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2"/>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300545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00545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Principal</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10,000</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4200" w:type="dxa"/>
            <w:vAlign w:val="bottom"/>
            <w:gridSpan w:val="3"/>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540" w:type="dxa"/>
            <w:vAlign w:val="bottom"/>
          </w:tcPr>
          <w:p>
            <w:pPr>
              <w:spacing w:after="0"/>
              <w:rPr>
                <w:sz w:val="15"/>
                <w:szCs w:val="15"/>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(250)</w:t>
            </w: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78"/>
        </w:trPr>
        <w:tc>
          <w:tcPr>
            <w:tcW w:w="420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9,711</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-162560</wp:posOffset>
            </wp:positionV>
            <wp:extent cx="2730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-543560</wp:posOffset>
            </wp:positionV>
            <wp:extent cx="265239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52395" cy="6985"/>
                    </a:xfrm>
                    <a:prstGeom prst="rect">
                      <a:avLst/>
                    </a:prstGeom>
                    <a:noFill/>
                  </pic:spPr>
                </pic:pic>
              </a:graphicData>
            </a:graphic>
          </wp:anchor>
        </w:drawing>
      </w:r>
    </w:p>
    <w:p>
      <w:pPr>
        <w:spacing w:after="0" w:line="10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100"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March 31, 2021. Amounts borrowed under the Loan Agreement accrue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2" w:name="page263"/>
    <w:bookmarkEnd w:id="26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 xml:space="preserve">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March 31, 2021 was 9.55%.</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89" w:lineRule="exact"/>
        <w:rPr>
          <w:sz w:val="20"/>
          <w:szCs w:val="20"/>
          <w:color w:val="auto"/>
        </w:rPr>
      </w:pPr>
    </w:p>
    <w:p>
      <w:pPr>
        <w:ind w:left="1240" w:right="1559"/>
        <w:spacing w:after="0" w:line="286"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The Company issued to Hercules warrants to purchase up to an aggregate of 16,112 shares of common stock.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8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For the Three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 Three</w:t>
            </w:r>
          </w:p>
        </w:tc>
      </w:tr>
      <w:tr>
        <w:trPr>
          <w:trHeight w:val="15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32"/>
              <w:spacing w:after="0"/>
              <w:rPr>
                <w:sz w:val="20"/>
                <w:szCs w:val="20"/>
                <w:color w:val="auto"/>
              </w:rPr>
            </w:pPr>
            <w:r>
              <w:rPr>
                <w:rFonts w:ascii="Arial" w:cs="Arial" w:eastAsia="Arial" w:hAnsi="Arial"/>
                <w:sz w:val="13"/>
                <w:szCs w:val="13"/>
                <w:b w:val="1"/>
                <w:bCs w:val="1"/>
                <w:color w:val="auto"/>
              </w:rPr>
              <w:t>Months Ended</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Months Ended</w:t>
            </w:r>
          </w:p>
        </w:tc>
      </w:tr>
      <w:tr>
        <w:trPr>
          <w:trHeight w:val="178"/>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March 31, 2021</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4380" w:type="dxa"/>
            <w:vAlign w:val="bottom"/>
            <w:gridSpan w:val="3"/>
          </w:tcPr>
          <w:p>
            <w:pPr>
              <w:spacing w:after="0"/>
              <w:rPr>
                <w:sz w:val="20"/>
                <w:szCs w:val="20"/>
                <w:color w:val="auto"/>
              </w:rPr>
            </w:pPr>
            <w:r>
              <w:rPr>
                <w:rFonts w:ascii="Arial" w:cs="Arial" w:eastAsia="Arial" w:hAnsi="Arial"/>
                <w:sz w:val="14"/>
                <w:szCs w:val="14"/>
                <w:color w:val="auto"/>
              </w:rPr>
              <w:t>Amortization of debt issuance costs, including end of term fee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w:t>
            </w:r>
          </w:p>
        </w:tc>
        <w:tc>
          <w:tcPr>
            <w:tcW w:w="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$ 314</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2"/>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-142240</wp:posOffset>
            </wp:positionV>
            <wp:extent cx="3429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-523240</wp:posOffset>
            </wp:positionV>
            <wp:extent cx="277431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74315" cy="6985"/>
                    </a:xfrm>
                    <a:prstGeom prst="rect">
                      <a:avLst/>
                    </a:prstGeom>
                    <a:noFill/>
                  </pic:spPr>
                </pic:pic>
              </a:graphicData>
            </a:graphic>
          </wp:anchor>
        </w:drawing>
      </w:r>
    </w:p>
    <w:p>
      <w:pPr>
        <w:spacing w:after="0" w:line="9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Included in accrued expenses in the accompanying consolidated balance sheets as of March 31, 2021 and December 31, 2020 were both $82 of accrued interest.</w:t>
      </w:r>
    </w:p>
    <w:p>
      <w:pPr>
        <w:spacing w:after="0" w:line="98"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Principal Payments</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2022</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2023</w:t>
            </w: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2025</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5160" w:type="dxa"/>
            <w:vAlign w:val="bottom"/>
          </w:tcPr>
          <w:p>
            <w:pPr>
              <w:jc w:val="right"/>
              <w:ind w:right="3529"/>
              <w:spacing w:after="0"/>
              <w:rPr>
                <w:sz w:val="20"/>
                <w:szCs w:val="20"/>
                <w:color w:val="auto"/>
              </w:rPr>
            </w:pPr>
            <w:r>
              <w:rPr>
                <w:rFonts w:ascii="Arial" w:cs="Arial" w:eastAsia="Arial" w:hAnsi="Arial"/>
                <w:sz w:val="14"/>
                <w:szCs w:val="14"/>
                <w:color w:val="auto"/>
              </w:rPr>
              <w:t>Total future payments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10,395</w:t>
            </w:r>
          </w:p>
        </w:tc>
      </w:tr>
      <w:tr>
        <w:trPr>
          <w:trHeight w:val="34"/>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Equity</w:t>
      </w:r>
    </w:p>
    <w:p>
      <w:pPr>
        <w:spacing w:after="0" w:line="129" w:lineRule="exact"/>
        <w:rPr>
          <w:sz w:val="20"/>
          <w:szCs w:val="20"/>
          <w:color w:val="auto"/>
        </w:rPr>
      </w:pPr>
    </w:p>
    <w:p>
      <w:pPr>
        <w:ind w:left="1240" w:right="1559"/>
        <w:spacing w:after="0" w:line="276"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95"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88"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9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0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0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Company had accrued expenses of $420 and $244 within accrued expenses and other liabilities as of March 31, 2021 and December 31, 2020, respectively, in its consolidated balance sheets related to the Master Service Agreement.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12"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97"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$1,142 and $909 within security deposits in its consolidated balance sheets at March 31, 2021 and December 31, 2020,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For the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w:t>
            </w:r>
          </w:p>
        </w:tc>
      </w:tr>
      <w:tr>
        <w:trPr>
          <w:trHeight w:val="150"/>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2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78"/>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center"/>
              <w:ind w:left="333"/>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0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1040" w:type="dxa"/>
            <w:vAlign w:val="bottom"/>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548</w:t>
            </w:r>
          </w:p>
        </w:tc>
        <w:tc>
          <w:tcPr>
            <w:tcW w:w="1460" w:type="dxa"/>
            <w:vAlign w:val="bottom"/>
          </w:tcPr>
          <w:p>
            <w:pPr>
              <w:jc w:val="right"/>
              <w:spacing w:after="0"/>
              <w:rPr>
                <w:sz w:val="20"/>
                <w:szCs w:val="20"/>
                <w:color w:val="auto"/>
              </w:rPr>
            </w:pPr>
            <w:r>
              <w:rPr>
                <w:rFonts w:ascii="Arial" w:cs="Arial" w:eastAsia="Arial" w:hAnsi="Arial"/>
                <w:sz w:val="14"/>
                <w:szCs w:val="14"/>
                <w:color w:val="auto"/>
              </w:rPr>
              <w:t>$ 126</w:t>
            </w:r>
          </w:p>
        </w:tc>
      </w:tr>
      <w:tr>
        <w:trPr>
          <w:trHeight w:val="22"/>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25"/>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104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$ 622</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24409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2440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-672465</wp:posOffset>
            </wp:positionV>
            <wp:extent cx="224409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44090" cy="6985"/>
                    </a:xfrm>
                    <a:prstGeom prst="rect">
                      <a:avLst/>
                    </a:prstGeom>
                    <a:noFill/>
                  </pic:spPr>
                </pic:pic>
              </a:graphicData>
            </a:graphic>
          </wp:anchor>
        </w:drawing>
      </w:r>
    </w:p>
    <w:p>
      <w:pPr>
        <w:spacing w:after="0" w:line="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As of</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rPr>
              <w:t>March 31, December 31,</w:t>
            </w:r>
          </w:p>
        </w:tc>
      </w:tr>
      <w:tr>
        <w:trPr>
          <w:trHeight w:val="178"/>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gridSpan w:val="2"/>
          </w:tcPr>
          <w:p>
            <w:pPr>
              <w:ind w:left="880"/>
              <w:spacing w:after="0"/>
              <w:rPr>
                <w:sz w:val="20"/>
                <w:szCs w:val="20"/>
                <w:color w:val="auto"/>
              </w:rPr>
            </w:pPr>
            <w:r>
              <w:rPr>
                <w:rFonts w:ascii="Arial" w:cs="Arial" w:eastAsia="Arial" w:hAnsi="Arial"/>
                <w:sz w:val="13"/>
                <w:szCs w:val="13"/>
                <w:b w:val="1"/>
                <w:bCs w:val="1"/>
                <w:color w:val="auto"/>
              </w:rPr>
              <w:t>Location in Balance Sheet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Operating lease right-of-use asset, netOperating lease right-of-use asset, net $</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12,460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w:t>
            </w:r>
          </w:p>
        </w:tc>
      </w:tr>
      <w:tr>
        <w:trPr>
          <w:trHeight w:val="181"/>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2920" w:type="dxa"/>
            <w:vAlign w:val="bottom"/>
            <w:gridSpan w:val="3"/>
          </w:tcPr>
          <w:p>
            <w:pPr>
              <w:ind w:left="160"/>
              <w:spacing w:after="0"/>
              <w:rPr>
                <w:sz w:val="20"/>
                <w:szCs w:val="20"/>
                <w:color w:val="auto"/>
              </w:rPr>
            </w:pPr>
            <w:r>
              <w:rPr>
                <w:rFonts w:ascii="Arial" w:cs="Arial" w:eastAsia="Arial" w:hAnsi="Arial"/>
                <w:sz w:val="14"/>
                <w:szCs w:val="14"/>
                <w:color w:val="auto"/>
              </w:rPr>
              <w:t>Accrued expenses and other liabilities</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14,745</w:t>
            </w: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11,679</w:t>
            </w:r>
          </w:p>
        </w:tc>
      </w:tr>
      <w:tr>
        <w:trPr>
          <w:trHeight w:val="178"/>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15,341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11,919</w:t>
            </w:r>
          </w:p>
        </w:tc>
      </w:tr>
      <w:tr>
        <w:trPr>
          <w:trHeight w:val="22"/>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163195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31950" cy="6985"/>
                    </a:xfrm>
                    <a:prstGeom prst="rect">
                      <a:avLst/>
                    </a:prstGeom>
                    <a:noFill/>
                  </pic:spPr>
                </pic:pic>
              </a:graphicData>
            </a:graphic>
          </wp:anchor>
        </w:drawing>
      </w:r>
    </w:p>
    <w:p>
      <w:pPr>
        <w:spacing w:after="0" w:line="65" w:lineRule="exact"/>
        <w:rPr>
          <w:sz w:val="20"/>
          <w:szCs w:val="20"/>
          <w:color w:val="auto"/>
        </w:rPr>
      </w:pPr>
    </w:p>
    <w:p>
      <w:pPr>
        <w:ind w:left="1240" w:right="1759"/>
        <w:spacing w:after="0" w:line="286" w:lineRule="auto"/>
        <w:rPr>
          <w:sz w:val="20"/>
          <w:szCs w:val="20"/>
          <w:color w:val="auto"/>
        </w:rPr>
      </w:pPr>
      <w:r>
        <w:rPr>
          <w:rFonts w:ascii="Arial" w:cs="Arial" w:eastAsia="Arial" w:hAnsi="Arial"/>
          <w:sz w:val="14"/>
          <w:szCs w:val="14"/>
          <w:color w:val="auto"/>
        </w:rPr>
        <w:t>The following table reflects supplement lease term and discount rate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406265" cy="133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06265" cy="13335"/>
                    </a:xfrm>
                    <a:prstGeom prst="rect">
                      <a:avLst/>
                    </a:prstGeom>
                    <a:noFill/>
                  </pic:spPr>
                </pic:pic>
              </a:graphicData>
            </a:graphic>
          </wp:anchor>
        </w:drawing>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 of March 31, 2021As of December 31, 2020</w:t>
            </w:r>
          </w:p>
        </w:tc>
        <w:tc>
          <w:tcPr>
            <w:tcW w:w="5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42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rPr>
              <w:t>8.74 years</w:t>
            </w:r>
          </w:p>
        </w:tc>
        <w:tc>
          <w:tcPr>
            <w:tcW w:w="154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rPr>
              <w:t>10.2 years</w:t>
            </w:r>
          </w:p>
        </w:tc>
        <w:tc>
          <w:tcPr>
            <w:tcW w:w="56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420" w:type="dxa"/>
            <w:vAlign w:val="bottom"/>
          </w:tcPr>
          <w:p>
            <w:pPr>
              <w:jc w:val="right"/>
              <w:ind w:right="571"/>
              <w:spacing w:after="0"/>
              <w:rPr>
                <w:sz w:val="20"/>
                <w:szCs w:val="20"/>
                <w:color w:val="auto"/>
              </w:rPr>
            </w:pPr>
            <w:r>
              <w:rPr>
                <w:rFonts w:ascii="Arial" w:cs="Arial" w:eastAsia="Arial" w:hAnsi="Arial"/>
                <w:sz w:val="14"/>
                <w:szCs w:val="14"/>
                <w:color w:val="auto"/>
              </w:rPr>
              <w:t>9%</w:t>
            </w:r>
          </w:p>
        </w:tc>
        <w:tc>
          <w:tcPr>
            <w:tcW w:w="1540" w:type="dxa"/>
            <w:vAlign w:val="bottom"/>
          </w:tcPr>
          <w:p>
            <w:pPr>
              <w:jc w:val="right"/>
              <w:ind w:right="629"/>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3980" w:type="dxa"/>
            <w:vAlign w:val="bottom"/>
          </w:tcPr>
          <w:p>
            <w:pPr>
              <w:ind w:left="3080"/>
              <w:spacing w:after="0"/>
              <w:rPr>
                <w:sz w:val="20"/>
                <w:szCs w:val="20"/>
                <w:color w:val="auto"/>
              </w:rPr>
            </w:pPr>
            <w:r>
              <w:rPr>
                <w:rFonts w:ascii="Arial" w:cs="Arial" w:eastAsia="Arial" w:hAnsi="Arial"/>
                <w:sz w:val="14"/>
                <w:szCs w:val="14"/>
                <w:color w:val="auto"/>
              </w:rPr>
              <w:t>F-47</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361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3619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5" w:name="page266"/>
    <w:bookmarkEnd w:id="26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209415" cy="133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209415" cy="13335"/>
                    </a:xfrm>
                    <a:prstGeom prst="rect">
                      <a:avLst/>
                    </a:prstGeom>
                    <a:noFill/>
                  </pic:spPr>
                </pic:pic>
              </a:graphicData>
            </a:graphic>
          </wp:anchor>
        </w:drawing>
      </w:r>
    </w:p>
    <w:p>
      <w:pPr>
        <w:spacing w:after="0" w:line="118" w:lineRule="exact"/>
        <w:rPr>
          <w:sz w:val="20"/>
          <w:szCs w:val="20"/>
          <w:color w:val="auto"/>
        </w:rPr>
      </w:pPr>
    </w:p>
    <w:p>
      <w:pPr>
        <w:ind w:left="6000"/>
        <w:spacing w:after="0"/>
        <w:tabs>
          <w:tab w:leader="none" w:pos="6960" w:val="left"/>
        </w:tabs>
        <w:rPr>
          <w:sz w:val="20"/>
          <w:szCs w:val="20"/>
          <w:color w:val="auto"/>
        </w:rPr>
      </w:pPr>
      <w:r>
        <w:rPr>
          <w:rFonts w:ascii="Arial" w:cs="Arial" w:eastAsia="Arial" w:hAnsi="Arial"/>
          <w:sz w:val="13"/>
          <w:szCs w:val="13"/>
          <w:b w:val="1"/>
          <w:bCs w:val="1"/>
          <w:color w:val="auto"/>
        </w:rPr>
        <w:t>For the Three</w:t>
        <w:tab/>
        <w:t>For the Three</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Months Ended Months Ended</w:t>
      </w:r>
    </w:p>
    <w:p>
      <w:pPr>
        <w:jc w:val="right"/>
        <w:ind w:right="1159"/>
        <w:spacing w:after="0"/>
        <w:rPr>
          <w:sz w:val="20"/>
          <w:szCs w:val="20"/>
          <w:color w:val="auto"/>
        </w:rPr>
      </w:pPr>
      <w:r>
        <w:rPr>
          <w:rFonts w:ascii="Arial" w:cs="Arial" w:eastAsia="Arial" w:hAnsi="Arial"/>
          <w:sz w:val="13"/>
          <w:szCs w:val="13"/>
          <w:b w:val="1"/>
          <w:bCs w:val="1"/>
          <w:color w:val="auto"/>
        </w:rPr>
        <w:t>March 31, 2021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12700</wp:posOffset>
            </wp:positionV>
            <wp:extent cx="297180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971800" cy="6985"/>
                    </a:xfrm>
                    <a:prstGeom prst="rect">
                      <a:avLst/>
                    </a:prstGeom>
                    <a:noFill/>
                  </pic:spPr>
                </pic:pic>
              </a:graphicData>
            </a:graphic>
          </wp:anchor>
        </w:drawing>
      </w:r>
    </w:p>
    <w:tbl>
      <w:tblPr>
        <w:tblLayout w:type="fixed"/>
        <w:tblInd w:w="12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181"/>
        </w:trPr>
        <w:tc>
          <w:tcPr>
            <w:tcW w:w="470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127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3,295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180" w:type="dxa"/>
            <w:vAlign w:val="bottom"/>
            <w:tcBorders>
              <w:top w:val="single" w:sz="8" w:color="CCEEFF"/>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40" w:type="dxa"/>
            <w:vAlign w:val="bottom"/>
          </w:tcPr>
          <w:p>
            <w:pPr>
              <w:spacing w:after="0"/>
              <w:rPr>
                <w:sz w:val="14"/>
                <w:szCs w:val="14"/>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2,813</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Pr>
          <w:p>
            <w:pPr>
              <w:spacing w:after="0"/>
              <w:rPr>
                <w:sz w:val="15"/>
                <w:szCs w:val="15"/>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2,708</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40" w:type="dxa"/>
            <w:vAlign w:val="bottom"/>
          </w:tcPr>
          <w:p>
            <w:pPr>
              <w:spacing w:after="0"/>
              <w:rPr>
                <w:sz w:val="15"/>
                <w:szCs w:val="15"/>
                <w:color w:val="auto"/>
              </w:rPr>
            </w:pPr>
          </w:p>
        </w:tc>
      </w:tr>
      <w:tr>
        <w:trPr>
          <w:trHeight w:val="187"/>
        </w:trPr>
        <w:tc>
          <w:tcPr>
            <w:tcW w:w="530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18,300</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31,111</w:t>
            </w:r>
          </w:p>
        </w:tc>
        <w:tc>
          <w:tcPr>
            <w:tcW w:w="40" w:type="dxa"/>
            <w:vAlign w:val="bottom"/>
          </w:tcPr>
          <w:p>
            <w:pPr>
              <w:spacing w:after="0"/>
              <w:rPr>
                <w:sz w:val="14"/>
                <w:szCs w:val="14"/>
                <w:color w:val="auto"/>
              </w:rPr>
            </w:pPr>
          </w:p>
        </w:tc>
      </w:tr>
      <w:tr>
        <w:trPr>
          <w:trHeight w:val="181"/>
        </w:trPr>
        <w:tc>
          <w:tcPr>
            <w:tcW w:w="5300" w:type="dxa"/>
            <w:vAlign w:val="bottom"/>
            <w:gridSpan w:val="3"/>
          </w:tcPr>
          <w:p>
            <w:pPr>
              <w:spacing w:after="0"/>
              <w:rPr>
                <w:sz w:val="20"/>
                <w:szCs w:val="20"/>
                <w:color w:val="auto"/>
              </w:rPr>
            </w:pPr>
            <w:r>
              <w:rPr>
                <w:rFonts w:ascii="Arial" w:cs="Arial" w:eastAsia="Arial" w:hAnsi="Arial"/>
                <w:sz w:val="14"/>
                <w:szCs w:val="14"/>
                <w:color w:val="auto"/>
              </w:rPr>
              <w:t>Less: imputed Interest</w:t>
            </w:r>
          </w:p>
        </w:tc>
        <w:tc>
          <w:tcPr>
            <w:tcW w:w="6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(12,065)</w:t>
            </w: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tenant incentive receivable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40" w:type="dxa"/>
            <w:vAlign w:val="bottom"/>
          </w:tcPr>
          <w:p>
            <w:pPr>
              <w:spacing w:after="0"/>
              <w:rPr>
                <w:sz w:val="16"/>
                <w:szCs w:val="16"/>
                <w:color w:val="auto"/>
              </w:rPr>
            </w:pPr>
          </w:p>
        </w:tc>
      </w:tr>
      <w:tr>
        <w:trPr>
          <w:trHeight w:val="178"/>
        </w:trPr>
        <w:tc>
          <w:tcPr>
            <w:tcW w:w="5300" w:type="dxa"/>
            <w:vAlign w:val="bottom"/>
            <w:gridSpan w:val="3"/>
          </w:tcPr>
          <w:p>
            <w:pPr>
              <w:spacing w:after="0"/>
              <w:rPr>
                <w:sz w:val="20"/>
                <w:szCs w:val="20"/>
                <w:color w:val="auto"/>
              </w:rPr>
            </w:pPr>
            <w:r>
              <w:rPr>
                <w:rFonts w:ascii="Arial" w:cs="Arial" w:eastAsia="Arial" w:hAnsi="Arial"/>
                <w:sz w:val="14"/>
                <w:szCs w:val="14"/>
                <w:color w:val="auto"/>
              </w:rPr>
              <w:t>Total</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15,341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335280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-1311910</wp:posOffset>
            </wp:positionV>
            <wp:extent cx="335280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98" w:lineRule="auto"/>
        <w:rPr>
          <w:sz w:val="20"/>
          <w:szCs w:val="20"/>
          <w:color w:val="auto"/>
        </w:rPr>
      </w:pPr>
      <w:r>
        <w:rPr>
          <w:rFonts w:ascii="Arial" w:cs="Arial" w:eastAsia="Arial" w:hAnsi="Arial"/>
          <w:sz w:val="14"/>
          <w:szCs w:val="14"/>
          <w:color w:val="auto"/>
        </w:rPr>
        <w:t>The Company entered into one lease that had not commenced at March 31, 2021. As a result, future lease payments of approximately $17.3 million are not recorded on the Company’s consolidated balance sheets. The lease commences in January 2022 with a non-cancelable term of 10 years.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30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Ended March 31, Ended March 31,</w:t>
            </w:r>
          </w:p>
        </w:tc>
      </w:tr>
      <w:tr>
        <w:trPr>
          <w:trHeight w:val="178"/>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(18,348)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 and diluted net loss per</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share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7,677,196</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4"/>
                <w:szCs w:val="14"/>
                <w:color w:val="auto"/>
              </w:rPr>
            </w:pP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19"/>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(2.39)</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95783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119"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The Company’s potentially dilutive securities, which include the Preferred Stock, restricted stock, warrants, early exercised stock options and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2021 and 2020 because including them would have had an anti-dilutive effect.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6" w:name="page267"/>
    <w:bookmarkEnd w:id="26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Three Months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w:t>
            </w:r>
          </w:p>
        </w:tc>
      </w:tr>
      <w:tr>
        <w:trPr>
          <w:trHeight w:val="15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3"/>
                <w:szCs w:val="13"/>
                <w:b w:val="1"/>
                <w:bCs w:val="1"/>
                <w:color w:val="auto"/>
              </w:rPr>
              <w:t>Ended March 31,</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Ended March 31,</w:t>
            </w:r>
          </w:p>
        </w:tc>
      </w:t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3,419,208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2,424,405</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Early exercised stock options subject to future vesting</w:t>
            </w:r>
          </w:p>
        </w:tc>
        <w:tc>
          <w:tcPr>
            <w:tcW w:w="1220" w:type="dxa"/>
            <w:vAlign w:val="bottom"/>
          </w:tcPr>
          <w:p>
            <w:pPr>
              <w:jc w:val="right"/>
              <w:spacing w:after="0"/>
              <w:rPr>
                <w:sz w:val="20"/>
                <w:szCs w:val="20"/>
                <w:color w:val="auto"/>
              </w:rPr>
            </w:pPr>
            <w:r>
              <w:rPr>
                <w:rFonts w:ascii="Arial" w:cs="Arial" w:eastAsia="Arial" w:hAnsi="Arial"/>
                <w:sz w:val="14"/>
                <w:szCs w:val="14"/>
                <w:color w:val="auto"/>
              </w:rPr>
              <w:t>952,518</w:t>
            </w:r>
          </w:p>
        </w:tc>
        <w:tc>
          <w:tcPr>
            <w:tcW w:w="1160" w:type="dxa"/>
            <w:vAlign w:val="bottom"/>
          </w:tcPr>
          <w:p>
            <w:pPr>
              <w:jc w:val="right"/>
              <w:spacing w:after="0"/>
              <w:rPr>
                <w:sz w:val="20"/>
                <w:szCs w:val="20"/>
                <w:color w:val="auto"/>
              </w:rPr>
            </w:pPr>
            <w:r>
              <w:rPr>
                <w:rFonts w:ascii="Arial" w:cs="Arial" w:eastAsia="Arial" w:hAnsi="Arial"/>
                <w:sz w:val="14"/>
                <w:szCs w:val="14"/>
                <w:color w:val="auto"/>
              </w:rPr>
              <w:t>222,656</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Restricted stock award subject to future vesting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902,703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1,536,337</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Warrants on long term debt</w:t>
            </w:r>
          </w:p>
        </w:tc>
        <w:tc>
          <w:tcPr>
            <w:tcW w:w="1220" w:type="dxa"/>
            <w:vAlign w:val="bottom"/>
          </w:tcPr>
          <w:p>
            <w:pPr>
              <w:jc w:val="right"/>
              <w:spacing w:after="0"/>
              <w:rPr>
                <w:sz w:val="20"/>
                <w:szCs w:val="20"/>
                <w:color w:val="auto"/>
              </w:rPr>
            </w:pPr>
            <w:r>
              <w:rPr>
                <w:rFonts w:ascii="Arial" w:cs="Arial" w:eastAsia="Arial" w:hAnsi="Arial"/>
                <w:sz w:val="14"/>
                <w:szCs w:val="14"/>
                <w:color w:val="auto"/>
              </w:rPr>
              <w:t>16,112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r>
      <w:tr>
        <w:trPr>
          <w:trHeight w:val="178"/>
        </w:trPr>
        <w:tc>
          <w:tcPr>
            <w:tcW w:w="4140" w:type="dxa"/>
            <w:vAlign w:val="bottom"/>
            <w:gridSpan w:val="3"/>
          </w:tcPr>
          <w:p>
            <w:pPr>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spacing w:after="0"/>
              <w:rPr>
                <w:sz w:val="20"/>
                <w:szCs w:val="20"/>
                <w:color w:val="auto"/>
              </w:rPr>
            </w:pPr>
            <w:r>
              <w:rPr>
                <w:rFonts w:ascii="Arial" w:cs="Arial" w:eastAsia="Arial" w:hAnsi="Arial"/>
                <w:sz w:val="14"/>
                <w:szCs w:val="14"/>
                <w:color w:val="auto"/>
              </w:rPr>
              <w:t>91,156,330</w:t>
            </w:r>
          </w:p>
        </w:tc>
        <w:tc>
          <w:tcPr>
            <w:tcW w:w="1160" w:type="dxa"/>
            <w:vAlign w:val="bottom"/>
          </w:tcPr>
          <w:p>
            <w:pPr>
              <w:jc w:val="right"/>
              <w:spacing w:after="0"/>
              <w:rPr>
                <w:sz w:val="20"/>
                <w:szCs w:val="20"/>
                <w:color w:val="auto"/>
              </w:rPr>
            </w:pPr>
            <w:r>
              <w:rPr>
                <w:rFonts w:ascii="Arial" w:cs="Arial" w:eastAsia="Arial" w:hAnsi="Arial"/>
                <w:sz w:val="14"/>
                <w:szCs w:val="14"/>
                <w:color w:val="auto"/>
              </w:rPr>
              <w:t>65,327,188</w:t>
            </w:r>
          </w:p>
        </w:tc>
      </w:tr>
      <w:tr>
        <w:trPr>
          <w:trHeight w:val="22"/>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-162560</wp:posOffset>
            </wp:positionV>
            <wp:extent cx="3429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-802005</wp:posOffset>
            </wp:positionV>
            <wp:extent cx="261810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1810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14—Defined contribution plan</w:t>
      </w:r>
    </w:p>
    <w:p>
      <w:pPr>
        <w:spacing w:after="0" w:line="118"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$212 and $63 for the three months ended March 31, 2021 and 2020, respectively. Such contribution expense has been recognized in the consolidated statement of operations for each period.</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15—Stock-based compensation</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As of March 31, 2021 the Company had 9,339,366 shares authorized for issuance under the Plan.</w:t>
      </w:r>
    </w:p>
    <w:p>
      <w:pPr>
        <w:spacing w:after="0" w:line="269" w:lineRule="exact"/>
        <w:rPr>
          <w:sz w:val="20"/>
          <w:szCs w:val="20"/>
          <w:color w:val="auto"/>
        </w:rPr>
      </w:pPr>
    </w:p>
    <w:p>
      <w:pPr>
        <w:ind w:left="1240" w:right="1499"/>
        <w:spacing w:after="0" w:line="255" w:lineRule="auto"/>
        <w:rPr>
          <w:sz w:val="20"/>
          <w:szCs w:val="20"/>
          <w:color w:val="auto"/>
        </w:rPr>
      </w:pPr>
      <w:r>
        <w:rPr>
          <w:rFonts w:ascii="Arial" w:cs="Arial" w:eastAsia="Arial" w:hAnsi="Arial"/>
          <w:sz w:val="14"/>
          <w:szCs w:val="14"/>
          <w:color w:val="auto"/>
        </w:rPr>
        <w:t>The Company recognizes the costs of the stock-based payments as the employees vest in the awards. For the three months ended March 31, 2021, the Company recognized $95 of stock-based compensation expense within the consolidated statement of operations. For the</w:t>
      </w:r>
    </w:p>
    <w:p>
      <w:pPr>
        <w:spacing w:after="0" w:line="1" w:lineRule="exact"/>
        <w:rPr>
          <w:sz w:val="20"/>
          <w:szCs w:val="20"/>
          <w:color w:val="auto"/>
        </w:rPr>
      </w:pPr>
    </w:p>
    <w:p>
      <w:pPr>
        <w:ind w:left="1240" w:right="2199"/>
        <w:spacing w:after="0" w:line="270" w:lineRule="auto"/>
        <w:rPr>
          <w:sz w:val="20"/>
          <w:szCs w:val="20"/>
          <w:color w:val="auto"/>
        </w:rPr>
      </w:pPr>
      <w:r>
        <w:rPr>
          <w:rFonts w:ascii="Arial" w:cs="Arial" w:eastAsia="Arial" w:hAnsi="Arial"/>
          <w:sz w:val="14"/>
          <w:szCs w:val="14"/>
          <w:color w:val="auto"/>
        </w:rPr>
        <w:t>three months ended March 31, 2020, the Company recognized $221 of stock-based compensation expense within the consolidated statement of operations.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64"/>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4"/>
                <w:szCs w:val="14"/>
                <w:color w:val="auto"/>
              </w:rPr>
            </w:pPr>
          </w:p>
        </w:tc>
      </w:tr>
      <w:tr>
        <w:trPr>
          <w:trHeight w:val="126"/>
        </w:trPr>
        <w:tc>
          <w:tcPr>
            <w:tcW w:w="10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0"/>
                <w:szCs w:val="10"/>
                <w:color w:val="auto"/>
              </w:rPr>
            </w:pPr>
          </w:p>
        </w:tc>
      </w:tr>
      <w:tr>
        <w:trPr>
          <w:trHeight w:val="150"/>
        </w:trPr>
        <w:tc>
          <w:tcPr>
            <w:tcW w:w="10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1000" w:type="dxa"/>
            <w:vAlign w:val="bottom"/>
          </w:tcPr>
          <w:p>
            <w:pPr>
              <w:spacing w:after="0"/>
              <w:rPr>
                <w:sz w:val="13"/>
                <w:szCs w:val="13"/>
                <w:color w:val="auto"/>
              </w:rPr>
            </w:pPr>
          </w:p>
        </w:tc>
      </w:tr>
      <w:tr>
        <w:trPr>
          <w:trHeight w:val="170"/>
        </w:trPr>
        <w:tc>
          <w:tcPr>
            <w:tcW w:w="100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Exercise Price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25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Outstanding January 1, 2021</w:t>
            </w:r>
          </w:p>
        </w:tc>
        <w:tc>
          <w:tcPr>
            <w:tcW w:w="80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3,882,328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Granted</w:t>
            </w:r>
          </w:p>
        </w:tc>
        <w:tc>
          <w:tcPr>
            <w:tcW w:w="1620" w:type="dxa"/>
            <w:vAlign w:val="bottom"/>
            <w:gridSpan w:val="3"/>
          </w:tcPr>
          <w:p>
            <w:pPr>
              <w:jc w:val="right"/>
              <w:ind w:right="10"/>
              <w:spacing w:after="0"/>
              <w:rPr>
                <w:sz w:val="20"/>
                <w:szCs w:val="20"/>
                <w:color w:val="auto"/>
              </w:rPr>
            </w:pPr>
            <w:r>
              <w:rPr>
                <w:rFonts w:ascii="Arial" w:cs="Arial" w:eastAsia="Arial" w:hAnsi="Arial"/>
                <w:sz w:val="14"/>
                <w:szCs w:val="14"/>
                <w:color w:val="auto"/>
              </w:rPr>
              <w:t>420,914</w:t>
            </w:r>
          </w:p>
        </w:tc>
        <w:tc>
          <w:tcPr>
            <w:tcW w:w="66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7.27</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(172,883)</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Exercised—unvested</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(688,886)</w:t>
            </w:r>
          </w:p>
        </w:tc>
        <w:tc>
          <w:tcPr>
            <w:tcW w:w="66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1.42</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(22,265)</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61"/>
        </w:trPr>
        <w:tc>
          <w:tcPr>
            <w:tcW w:w="1000" w:type="dxa"/>
            <w:vAlign w:val="bottom"/>
          </w:tcPr>
          <w:p>
            <w:pPr>
              <w:spacing w:after="0"/>
              <w:rPr>
                <w:sz w:val="13"/>
                <w:szCs w:val="13"/>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58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March 31, 2021</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rPr>
              <w:t>3,419,208</w:t>
            </w: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rPr>
              <w:t>1.83</w:t>
            </w:r>
          </w:p>
        </w:tc>
        <w:tc>
          <w:tcPr>
            <w:tcW w:w="12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8.94</w:t>
            </w:r>
          </w:p>
        </w:tc>
        <w:tc>
          <w:tcPr>
            <w:tcW w:w="1000" w:type="dxa"/>
            <w:vAlign w:val="bottom"/>
          </w:tcPr>
          <w:p>
            <w:pPr>
              <w:spacing w:after="0"/>
              <w:rPr>
                <w:sz w:val="13"/>
                <w:szCs w:val="13"/>
                <w:color w:val="auto"/>
              </w:rPr>
            </w:pPr>
          </w:p>
        </w:tc>
      </w:tr>
      <w:tr>
        <w:trPr>
          <w:trHeight w:val="185"/>
        </w:trPr>
        <w:tc>
          <w:tcPr>
            <w:tcW w:w="1000" w:type="dxa"/>
            <w:vAlign w:val="bottom"/>
          </w:tcPr>
          <w:p>
            <w:pPr>
              <w:spacing w:after="0"/>
              <w:rPr>
                <w:sz w:val="16"/>
                <w:szCs w:val="16"/>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March 31, 2021</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2,021,936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20" w:type="dxa"/>
            <w:vAlign w:val="bottom"/>
            <w:gridSpan w:val="3"/>
          </w:tcPr>
          <w:p>
            <w:pPr>
              <w:jc w:val="right"/>
              <w:ind w:right="750"/>
              <w:spacing w:after="0"/>
              <w:rPr>
                <w:sz w:val="20"/>
                <w:szCs w:val="20"/>
                <w:color w:val="auto"/>
              </w:rPr>
            </w:pPr>
            <w:r>
              <w:rPr>
                <w:rFonts w:ascii="Arial" w:cs="Arial" w:eastAsia="Arial" w:hAnsi="Arial"/>
                <w:sz w:val="14"/>
                <w:szCs w:val="14"/>
                <w:color w:val="auto"/>
              </w:rPr>
              <w:t>F-49</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1558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-1475105</wp:posOffset>
            </wp:positionV>
            <wp:extent cx="215582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7" w:name="page268"/>
    <w:bookmarkEnd w:id="26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The weighted average grant date fair value of awards for options granted during the period ended March 31, 2021 was $4.52. As of March 31, 2021, there was $3,553 of total unrecognized compensation expense related to unvested stock options with time-based vesting terms, which is expected to be recognized over a weighted average period of 2.74 years.</w:t>
      </w:r>
    </w:p>
    <w:p>
      <w:pPr>
        <w:spacing w:after="0" w:line="95"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the Company issued 213,624 performance-based awards, respectively, that vest upon contingent events. The Company determined the performance condition for these awards is not probable of being achieved. As a result, the Company has not recorded any compensation cost related to the awards. As of March 31, 2021, there was $213 of total unrecognized compensation expense related to the performance-based awards.</w:t>
      </w:r>
    </w:p>
    <w:p>
      <w:pPr>
        <w:spacing w:after="0" w:line="106"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14" w:lineRule="exact"/>
        <w:rPr>
          <w:sz w:val="20"/>
          <w:szCs w:val="20"/>
          <w:color w:val="auto"/>
        </w:rPr>
      </w:pPr>
    </w:p>
    <w:p>
      <w:pPr>
        <w:jc w:val="both"/>
        <w:ind w:left="1240" w:right="1459"/>
        <w:spacing w:after="0" w:line="258" w:lineRule="auto"/>
        <w:rPr>
          <w:sz w:val="20"/>
          <w:szCs w:val="20"/>
          <w:color w:val="auto"/>
        </w:rPr>
      </w:pPr>
      <w:r>
        <w:rPr>
          <w:rFonts w:ascii="Arial" w:cs="Arial" w:eastAsia="Arial" w:hAnsi="Arial"/>
          <w:sz w:val="14"/>
          <w:szCs w:val="14"/>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 2021</w:t>
            </w:r>
          </w:p>
        </w:tc>
      </w:tr>
      <w:tr>
        <w:trPr>
          <w:trHeight w:val="171"/>
        </w:trPr>
        <w:tc>
          <w:tcPr>
            <w:tcW w:w="20" w:type="dxa"/>
            <w:vAlign w:val="bottom"/>
          </w:tcPr>
          <w:p>
            <w:pPr>
              <w:spacing w:after="0"/>
              <w:rPr>
                <w:sz w:val="14"/>
                <w:szCs w:val="14"/>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81"/>
        </w:trPr>
        <w:tc>
          <w:tcPr>
            <w:tcW w:w="5460" w:type="dxa"/>
            <w:vAlign w:val="bottom"/>
            <w:gridSpan w:val="2"/>
          </w:tcPr>
          <w:p>
            <w:pPr>
              <w:spacing w:after="0"/>
              <w:rPr>
                <w:sz w:val="20"/>
                <w:szCs w:val="20"/>
                <w:color w:val="auto"/>
              </w:rPr>
            </w:pPr>
            <w:r>
              <w:rPr>
                <w:rFonts w:ascii="Arial" w:cs="Arial" w:eastAsia="Arial" w:hAnsi="Arial"/>
                <w:sz w:val="14"/>
                <w:szCs w:val="14"/>
                <w:color w:val="auto"/>
              </w:rPr>
              <w:t>Expected option term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Expected volatility</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69.81%</w:t>
            </w:r>
          </w:p>
        </w:tc>
      </w:tr>
      <w:tr>
        <w:trPr>
          <w:trHeight w:val="203"/>
        </w:trPr>
        <w:tc>
          <w:tcPr>
            <w:tcW w:w="5460" w:type="dxa"/>
            <w:vAlign w:val="bottom"/>
            <w:gridSpan w:val="2"/>
          </w:tcPr>
          <w:p>
            <w:pPr>
              <w:spacing w:after="0"/>
              <w:rPr>
                <w:sz w:val="20"/>
                <w:szCs w:val="20"/>
                <w:color w:val="auto"/>
              </w:rPr>
            </w:pPr>
            <w:r>
              <w:rPr>
                <w:rFonts w:ascii="Arial" w:cs="Arial" w:eastAsia="Arial" w:hAnsi="Arial"/>
                <w:sz w:val="14"/>
                <w:szCs w:val="14"/>
                <w:color w:val="auto"/>
              </w:rPr>
              <w:t>Risk-free interest rate</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33"/>
        </w:trPr>
        <w:tc>
          <w:tcPr>
            <w:tcW w:w="2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4134485" cy="1289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34485" cy="12890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-529590</wp:posOffset>
            </wp:positionV>
            <wp:extent cx="34613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61385" cy="6985"/>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12"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The following table summarizes restricted stock activity as of March 31, 2021 and December 31, 2020:</w:t>
      </w:r>
    </w:p>
    <w:p>
      <w:pPr>
        <w:spacing w:after="0" w:line="31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December 31, 2020</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1,053,502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187"/>
        </w:trPr>
        <w:tc>
          <w:tcPr>
            <w:tcW w:w="42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840" w:type="dxa"/>
            <w:vAlign w:val="bottom"/>
          </w:tcPr>
          <w:p>
            <w:pPr>
              <w:jc w:val="right"/>
              <w:spacing w:after="0"/>
              <w:rPr>
                <w:sz w:val="20"/>
                <w:szCs w:val="20"/>
                <w:color w:val="auto"/>
              </w:rPr>
            </w:pPr>
            <w:r>
              <w:rPr>
                <w:rFonts w:ascii="Arial" w:cs="Arial" w:eastAsia="Arial" w:hAnsi="Arial"/>
                <w:sz w:val="14"/>
                <w:szCs w:val="14"/>
                <w:color w:val="auto"/>
              </w:rPr>
              <w:t>(150,799)</w:t>
            </w:r>
          </w:p>
        </w:tc>
        <w:tc>
          <w:tcPr>
            <w:tcW w:w="144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180"/>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March 31, 2021</w:t>
            </w:r>
          </w:p>
        </w:tc>
        <w:tc>
          <w:tcPr>
            <w:tcW w:w="8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902,703</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0.38</w:t>
            </w: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67906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790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67906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79065" cy="6985"/>
                    </a:xfrm>
                    <a:prstGeom prst="rect">
                      <a:avLst/>
                    </a:prstGeom>
                    <a:noFill/>
                  </pic:spPr>
                </pic:pic>
              </a:graphicData>
            </a:graphic>
          </wp:anchor>
        </w:drawing>
      </w:r>
    </w:p>
    <w:p>
      <w:pPr>
        <w:spacing w:after="0" w:line="54" w:lineRule="exact"/>
        <w:rPr>
          <w:sz w:val="20"/>
          <w:szCs w:val="20"/>
          <w:color w:val="auto"/>
        </w:rPr>
      </w:pPr>
    </w:p>
    <w:p>
      <w:pPr>
        <w:ind w:left="1240" w:right="1679"/>
        <w:spacing w:after="0" w:line="270" w:lineRule="auto"/>
        <w:rPr>
          <w:sz w:val="20"/>
          <w:szCs w:val="20"/>
          <w:color w:val="auto"/>
        </w:rPr>
      </w:pPr>
      <w:r>
        <w:rPr>
          <w:rFonts w:ascii="Arial" w:cs="Arial" w:eastAsia="Arial" w:hAnsi="Arial"/>
          <w:sz w:val="14"/>
          <w:szCs w:val="14"/>
          <w:color w:val="auto"/>
        </w:rPr>
        <w:t>Pursuant to certain stock purchase agreements containing vesting and other provisions, the Company has the right to repurchase unvested shares.</w:t>
      </w:r>
    </w:p>
    <w:p>
      <w:pPr>
        <w:spacing w:after="0" w:line="88"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As of March 31, 2021, there was $333 of total unrecognized compensation expense related to the unvested restricted stock with time-based vesting terms, which is expected to be recognized over a weighted average period of 1.71 years. All restricted stock vests over a four-year period.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Early-Exercise of Unvested Equity Awards</w:t>
      </w:r>
    </w:p>
    <w:p>
      <w:pPr>
        <w:spacing w:after="0" w:line="10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part of the merger, the Company assumed a deposit liability from Prior Century. Certain equity award holders early exercised unvested equity awards. The cash received upon early exercise of options of $1,136 was recorded as a deposit liability on the Company’s balance sheet as of March 31, 2021.</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8" w:name="page269"/>
    <w:bookmarkEnd w:id="26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06"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 As of March 31, 2021, there was $1,423 in accounts payable related to this agreement on the consolidated balance sheets.</w:t>
      </w:r>
    </w:p>
    <w:p>
      <w:pPr>
        <w:spacing w:after="0" w:line="95" w:lineRule="exact"/>
        <w:rPr>
          <w:sz w:val="20"/>
          <w:szCs w:val="20"/>
          <w:color w:val="auto"/>
        </w:rPr>
      </w:pPr>
    </w:p>
    <w:p>
      <w:pPr>
        <w:ind w:left="1240" w:right="1639"/>
        <w:spacing w:after="0" w:line="281" w:lineRule="auto"/>
        <w:rPr>
          <w:sz w:val="20"/>
          <w:szCs w:val="20"/>
          <w:color w:val="auto"/>
        </w:rPr>
      </w:pPr>
      <w:r>
        <w:rPr>
          <w:rFonts w:ascii="Arial" w:cs="Arial" w:eastAsia="Arial" w:hAnsi="Arial"/>
          <w:sz w:val="14"/>
          <w:szCs w:val="14"/>
          <w:color w:val="auto"/>
        </w:rPr>
        <w:t>During the three months ended March 31, 2020, the Company made payments of $35 and incurred research and development expenses of $2,877 and legal fees of $3 recorded within general and administrative expenses in its consolidated statements of operations and comprehensive loss.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$38 and $13 related to these consulting arrangements that were included in research and development expenses in the consolidated statements of operations and comprehensive loss for the three months ended March 31, 2021 and March 31, 2020, respectively.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The Company has evaluated subsequent events as of March 31, 2021—the date of these consolidated financial statements—through May 5, 2021, which represents the date these consolidated financial statements were issued.</w:t>
      </w:r>
    </w:p>
    <w:p>
      <w:pPr>
        <w:spacing w:after="0" w:line="94" w:lineRule="exact"/>
        <w:rPr>
          <w:sz w:val="20"/>
          <w:szCs w:val="20"/>
          <w:color w:val="auto"/>
        </w:rPr>
      </w:pPr>
    </w:p>
    <w:p>
      <w:pPr>
        <w:ind w:left="1240" w:right="1279"/>
        <w:spacing w:after="0" w:line="281" w:lineRule="auto"/>
        <w:rPr>
          <w:sz w:val="20"/>
          <w:szCs w:val="20"/>
          <w:color w:val="auto"/>
        </w:rPr>
      </w:pPr>
      <w:r>
        <w:rPr>
          <w:rFonts w:ascii="Arial" w:cs="Arial" w:eastAsia="Arial" w:hAnsi="Arial"/>
          <w:sz w:val="14"/>
          <w:szCs w:val="14"/>
          <w:color w:val="auto"/>
        </w:rPr>
        <w:t>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9" w:name="page270"/>
    <w:bookmarkEnd w:id="269"/>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Stock Plan</w:t>
      </w:r>
    </w:p>
    <w:p>
      <w:pPr>
        <w:spacing w:after="0" w:line="131" w:lineRule="exact"/>
        <w:rPr>
          <w:sz w:val="20"/>
          <w:szCs w:val="20"/>
          <w:color w:val="auto"/>
        </w:rPr>
      </w:pPr>
    </w:p>
    <w:p>
      <w:pPr>
        <w:jc w:val="both"/>
        <w:ind w:left="1240" w:right="1819"/>
        <w:spacing w:after="0" w:line="286" w:lineRule="auto"/>
        <w:rPr>
          <w:sz w:val="20"/>
          <w:szCs w:val="20"/>
          <w:color w:val="auto"/>
        </w:rPr>
      </w:pPr>
      <w:r>
        <w:rPr>
          <w:rFonts w:ascii="Arial" w:cs="Arial" w:eastAsia="Arial" w:hAnsi="Arial"/>
          <w:sz w:val="14"/>
          <w:szCs w:val="14"/>
          <w:color w:val="auto"/>
        </w:rPr>
        <w:t>The Board of Directors of the Company, pursuant to a meeting held in April 2021, granted 2,036,524 options to new and existing employees at an exercise price of $7.27 per share.</w:t>
      </w:r>
    </w:p>
    <w:p>
      <w:pPr>
        <w:spacing w:after="0" w:line="98" w:lineRule="exact"/>
        <w:rPr>
          <w:sz w:val="20"/>
          <w:szCs w:val="20"/>
          <w:color w:val="auto"/>
        </w:rPr>
      </w:pPr>
    </w:p>
    <w:p>
      <w:pPr>
        <w:ind w:left="1240" w:right="1839"/>
        <w:spacing w:after="0" w:line="286" w:lineRule="auto"/>
        <w:rPr>
          <w:sz w:val="20"/>
          <w:szCs w:val="20"/>
          <w:color w:val="auto"/>
        </w:rPr>
      </w:pPr>
      <w:r>
        <w:rPr>
          <w:rFonts w:ascii="Arial" w:cs="Arial" w:eastAsia="Arial" w:hAnsi="Arial"/>
          <w:sz w:val="14"/>
          <w:szCs w:val="14"/>
          <w:color w:val="auto"/>
        </w:rPr>
        <w:t>The Board of Directors of the Company, pursuant to a meeting held in May 2021, granted 205,402 options to new and existing employees at an exercise price of $7.27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0" w:name="page271"/>
    <w:bookmarkEnd w:id="270"/>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243205</wp:posOffset>
            </wp:positionV>
            <wp:extent cx="413448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297180</wp:posOffset>
            </wp:positionV>
            <wp:extent cx="413448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10,550,000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420370</wp:posOffset>
            </wp:positionV>
            <wp:extent cx="2332355" cy="6254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2021</w:t>
      </w:r>
    </w:p>
    <w:p>
      <w:pPr>
        <w:spacing w:after="0" w:line="200" w:lineRule="exact"/>
        <w:rPr>
          <w:sz w:val="20"/>
          <w:szCs w:val="20"/>
          <w:color w:val="auto"/>
        </w:rPr>
      </w:pPr>
    </w:p>
    <w:p>
      <w:pPr>
        <w:spacing w:after="0" w:line="306" w:lineRule="exact"/>
        <w:rPr>
          <w:sz w:val="20"/>
          <w:szCs w:val="20"/>
          <w:color w:val="auto"/>
        </w:rPr>
      </w:pPr>
    </w:p>
    <w:p>
      <w:pPr>
        <w:ind w:left="1240"/>
        <w:spacing w:after="0"/>
        <w:tabs>
          <w:tab w:leader="none" w:pos="3720" w:val="left"/>
        </w:tabs>
        <w:rPr>
          <w:sz w:val="20"/>
          <w:szCs w:val="20"/>
          <w:color w:val="auto"/>
        </w:rPr>
      </w:pPr>
      <w:r>
        <w:rPr>
          <w:rFonts w:ascii="Arial" w:cs="Arial" w:eastAsia="Arial" w:hAnsi="Arial"/>
          <w:sz w:val="14"/>
          <w:szCs w:val="14"/>
          <w:b w:val="1"/>
          <w:bCs w:val="1"/>
          <w:color w:val="auto"/>
        </w:rPr>
        <w:t>Through and including</w:t>
      </w:r>
      <w:r>
        <w:rPr>
          <w:sz w:val="20"/>
          <w:szCs w:val="20"/>
          <w:color w:val="auto"/>
        </w:rPr>
        <w:tab/>
      </w:r>
      <w:r>
        <w:rPr>
          <w:rFonts w:ascii="Arial" w:cs="Arial" w:eastAsia="Arial" w:hAnsi="Arial"/>
          <w:sz w:val="14"/>
          <w:szCs w:val="14"/>
          <w:b w:val="1"/>
          <w:bCs w:val="1"/>
          <w:color w:val="auto"/>
        </w:rPr>
        <w:t>, 2021 (the 25th day after the commencement of this</w:t>
      </w:r>
    </w:p>
    <w:p>
      <w:pPr>
        <w:spacing w:after="0" w:line="28"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b w:val="1"/>
          <w:bCs w:val="1"/>
          <w:color w:val="auto"/>
        </w:rPr>
        <w:t>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81280</wp:posOffset>
            </wp:positionV>
            <wp:extent cx="413448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1344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121920</wp:posOffset>
            </wp:positionV>
            <wp:extent cx="4134485"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327025</wp:posOffset>
            </wp:positionV>
            <wp:extent cx="5417820"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1" w:name="page272"/>
    <w:bookmarkEnd w:id="271"/>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Part II</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Information not required in prospectus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8"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The following table sets forth the costs and expenses, other than the underwriting discounts and commissions, payable by Century Therapeutics, Inc., or the Registrant, in connection with the sale of our common stock being registered. All amounts are estimates except for the SEC, registration fee, FINRA, filing fee and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94615</wp:posOffset>
            </wp:positionV>
            <wp:extent cx="4134485" cy="133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Item</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71"/>
        </w:trPr>
        <w:tc>
          <w:tcPr>
            <w:tcW w:w="20" w:type="dxa"/>
            <w:vAlign w:val="bottom"/>
          </w:tcPr>
          <w:p>
            <w:pPr>
              <w:spacing w:after="0"/>
              <w:rPr>
                <w:sz w:val="14"/>
                <w:szCs w:val="14"/>
                <w:color w:val="auto"/>
              </w:rPr>
            </w:pPr>
          </w:p>
        </w:tc>
        <w:tc>
          <w:tcPr>
            <w:tcW w:w="5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26,473</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FINRA filing fee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34,898</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Nasdaq Global Select Market listing fee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290,000</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Printing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225,000</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1,700,000</w:t>
            </w:r>
          </w:p>
        </w:tc>
      </w:tr>
      <w:tr>
        <w:trPr>
          <w:trHeight w:val="181"/>
        </w:trPr>
        <w:tc>
          <w:tcPr>
            <w:tcW w:w="5700" w:type="dxa"/>
            <w:vAlign w:val="bottom"/>
            <w:gridSpan w:val="2"/>
          </w:tcPr>
          <w:p>
            <w:pPr>
              <w:spacing w:after="0"/>
              <w:rPr>
                <w:sz w:val="20"/>
                <w:szCs w:val="20"/>
                <w:color w:val="auto"/>
              </w:rPr>
            </w:pPr>
            <w:r>
              <w:rPr>
                <w:rFonts w:ascii="Arial" w:cs="Arial" w:eastAsia="Arial" w:hAnsi="Arial"/>
                <w:sz w:val="14"/>
                <w:szCs w:val="14"/>
                <w:color w:val="auto"/>
              </w:rPr>
              <w:t>Accounting fees and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1,300,000</w:t>
            </w:r>
          </w:p>
        </w:tc>
      </w:tr>
      <w:tr>
        <w:trPr>
          <w:trHeight w:val="22"/>
        </w:trPr>
        <w:tc>
          <w:tcPr>
            <w:tcW w:w="5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Transfer agent fees and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187"/>
        </w:trPr>
        <w:tc>
          <w:tcPr>
            <w:tcW w:w="5700" w:type="dxa"/>
            <w:vAlign w:val="bottom"/>
            <w:gridSpan w:val="2"/>
          </w:tcPr>
          <w:p>
            <w:pPr>
              <w:spacing w:after="0"/>
              <w:rPr>
                <w:sz w:val="20"/>
                <w:szCs w:val="20"/>
                <w:color w:val="auto"/>
              </w:rPr>
            </w:pPr>
            <w:r>
              <w:rPr>
                <w:rFonts w:ascii="Arial" w:cs="Arial" w:eastAsia="Arial" w:hAnsi="Arial"/>
                <w:sz w:val="14"/>
                <w:szCs w:val="14"/>
                <w:color w:val="auto"/>
              </w:rPr>
              <w:t>Miscellaneous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417,359</w:t>
            </w:r>
          </w:p>
        </w:tc>
      </w:tr>
      <w:tr>
        <w:trPr>
          <w:trHeight w:val="180"/>
        </w:trPr>
        <w:tc>
          <w:tcPr>
            <w:tcW w:w="20" w:type="dxa"/>
            <w:vAlign w:val="bottom"/>
          </w:tcPr>
          <w:p>
            <w:pPr>
              <w:spacing w:after="0"/>
              <w:rPr>
                <w:sz w:val="15"/>
                <w:szCs w:val="15"/>
                <w:color w:val="auto"/>
              </w:rPr>
            </w:pPr>
          </w:p>
        </w:tc>
        <w:tc>
          <w:tcPr>
            <w:tcW w:w="5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4,000,000</w:t>
            </w: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61124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611245" cy="6985"/>
                    </a:xfrm>
                    <a:prstGeom prst="rect">
                      <a:avLst/>
                    </a:prstGeom>
                    <a:noFill/>
                  </pic:spPr>
                </pic:pic>
              </a:graphicData>
            </a:graphic>
          </wp:anchor>
        </w:drawing>
      </w:r>
    </w:p>
    <w:p>
      <w:pPr>
        <w:spacing w:after="0" w:line="22" w:lineRule="exact"/>
        <w:rPr>
          <w:sz w:val="20"/>
          <w:szCs w:val="20"/>
          <w:color w:val="auto"/>
        </w:rPr>
      </w:pPr>
    </w:p>
    <w:p>
      <w:pPr>
        <w:ind w:left="1240"/>
        <w:spacing w:after="0"/>
        <w:tabs>
          <w:tab w:leader="none" w:pos="1360" w:val="left"/>
        </w:tabs>
        <w:rPr>
          <w:sz w:val="20"/>
          <w:szCs w:val="20"/>
          <w:color w:val="auto"/>
        </w:rPr>
      </w:pPr>
      <w:r>
        <w:rPr>
          <w:rFonts w:ascii="Arial" w:cs="Arial" w:eastAsia="Arial" w:hAnsi="Arial"/>
          <w:sz w:val="11"/>
          <w:szCs w:val="11"/>
          <w:color w:val="auto"/>
        </w:rPr>
        <w:t>*</w:t>
        <w:tab/>
        <w:t>To be filed by amendment.</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29"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As permitted by Section 102 of the DGCL, our second amended and restated certificate of incorporation and amended and restated bylaws to be in effect immediately prior to the closing of this offering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260" w:lineRule="exact"/>
        <w:rPr>
          <w:sz w:val="20"/>
          <w:szCs w:val="20"/>
          <w:color w:val="auto"/>
        </w:rPr>
      </w:pPr>
    </w:p>
    <w:p>
      <w:pPr>
        <w:ind w:left="1360" w:hanging="111"/>
        <w:spacing w:after="0"/>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21" w:lineRule="exact"/>
        <w:rPr>
          <w:rFonts w:ascii="Arial" w:cs="Arial" w:eastAsia="Arial" w:hAnsi="Arial"/>
          <w:sz w:val="14"/>
          <w:szCs w:val="14"/>
          <w:color w:val="auto"/>
        </w:rPr>
      </w:pPr>
    </w:p>
    <w:p>
      <w:pPr>
        <w:ind w:left="1360" w:right="1759" w:hanging="111"/>
        <w:spacing w:after="0" w:line="271" w:lineRule="auto"/>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ind w:left="1360" w:right="1319" w:hanging="111"/>
        <w:spacing w:after="0" w:line="271" w:lineRule="auto"/>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ind w:left="1360" w:hanging="111"/>
        <w:spacing w:after="0"/>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17" w:lineRule="exact"/>
        <w:rPr>
          <w:sz w:val="20"/>
          <w:szCs w:val="20"/>
          <w:color w:val="auto"/>
        </w:rPr>
      </w:pPr>
    </w:p>
    <w:p>
      <w:pPr>
        <w:ind w:left="1240" w:right="1439" w:firstLine="257"/>
        <w:spacing w:after="0" w:line="263" w:lineRule="auto"/>
        <w:rPr>
          <w:sz w:val="20"/>
          <w:szCs w:val="20"/>
          <w:color w:val="auto"/>
        </w:rPr>
      </w:pPr>
      <w:r>
        <w:rPr>
          <w:rFonts w:ascii="Arial" w:cs="Arial" w:eastAsia="Arial" w:hAnsi="Arial"/>
          <w:sz w:val="14"/>
          <w:szCs w:val="14"/>
          <w:color w:val="auto"/>
        </w:rPr>
        <w:t>These limitations of liability do not affect the availability of equitable remedies such as injunctive relief or rescission. Our second amended and restated certificate of incorporation will authorize us to indemnify our officers, directors and other agents to the fullest extent permitted under Delaware law.</w:t>
      </w:r>
    </w:p>
    <w:p>
      <w:pPr>
        <w:spacing w:after="0" w:line="28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As permitted by Section 145 of the DGCL, our amended and restated bylaws will provide that:</w:t>
      </w:r>
    </w:p>
    <w:p>
      <w:pPr>
        <w:spacing w:after="0" w:line="107" w:lineRule="exact"/>
        <w:rPr>
          <w:sz w:val="20"/>
          <w:szCs w:val="20"/>
          <w:color w:val="auto"/>
        </w:rPr>
      </w:pPr>
    </w:p>
    <w:p>
      <w:pPr>
        <w:ind w:left="1360" w:right="1459" w:hanging="111"/>
        <w:spacing w:after="0" w:line="286" w:lineRule="auto"/>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may indemnify our directors, officers, and employees to the fullest extent permitted by the DGCL, subject to limited exceptions;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may advance expenses to our directors, officers, and employees in connection with a legal proceeding to the fullest extent permitted by the DGCL, subject to limited exceptions;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rights provided in our amended and restated bylaws are not exclusive.</w:t>
      </w:r>
    </w:p>
    <w:p>
      <w:pPr>
        <w:spacing w:after="0" w:line="11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Our second amended and restated certificate of incorporation and our amended and restated bylaws will provide for the indemnification provisions described above and elsewhere herein. We have entered into, and intend to continue to enter into, separate indemnification agreements with our directors and officers that may be broader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2" w:name="page273"/>
    <w:bookmarkEnd w:id="272"/>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81" w:lineRule="exact"/>
        <w:rPr>
          <w:sz w:val="20"/>
          <w:szCs w:val="20"/>
          <w:color w:val="auto"/>
        </w:rPr>
      </w:pPr>
    </w:p>
    <w:p>
      <w:pPr>
        <w:ind w:left="1240" w:right="1359"/>
        <w:spacing w:after="0" w:line="281" w:lineRule="auto"/>
        <w:rPr>
          <w:sz w:val="20"/>
          <w:szCs w:val="20"/>
          <w:color w:val="auto"/>
        </w:rPr>
      </w:pPr>
      <w:r>
        <w:rPr>
          <w:rFonts w:ascii="Arial" w:cs="Arial" w:eastAsia="Arial" w:hAnsi="Arial"/>
          <w:sz w:val="14"/>
          <w:szCs w:val="14"/>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281"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40" w:lineRule="exact"/>
        <w:rPr>
          <w:sz w:val="20"/>
          <w:szCs w:val="20"/>
          <w:color w:val="auto"/>
        </w:rPr>
      </w:pPr>
    </w:p>
    <w:p>
      <w:pPr>
        <w:ind w:left="1240" w:right="1739" w:firstLine="257"/>
        <w:spacing w:after="0" w:line="276" w:lineRule="auto"/>
        <w:rPr>
          <w:sz w:val="20"/>
          <w:szCs w:val="20"/>
          <w:color w:val="auto"/>
        </w:rPr>
      </w:pPr>
      <w:r>
        <w:rPr>
          <w:rFonts w:ascii="Arial" w:cs="Arial" w:eastAsia="Arial" w:hAnsi="Arial"/>
          <w:sz w:val="14"/>
          <w:szCs w:val="14"/>
          <w:color w:val="auto"/>
        </w:rPr>
        <w:t>Set forth below is information regarding all unregistered securities sold by us since our inception in 2018. Also included is the consideration received by us for such securities and information relating to the section of the Securities Act, or rule of the SEC, under which exemption from registration was claimed.</w:t>
      </w:r>
    </w:p>
    <w:p>
      <w:pPr>
        <w:spacing w:after="0" w:line="122" w:lineRule="exact"/>
        <w:rPr>
          <w:sz w:val="20"/>
          <w:szCs w:val="20"/>
          <w:color w:val="auto"/>
        </w:rPr>
      </w:pPr>
    </w:p>
    <w:p>
      <w:pPr>
        <w:ind w:left="1500" w:right="2559" w:hanging="251"/>
        <w:spacing w:after="0" w:line="442" w:lineRule="auto"/>
        <w:tabs>
          <w:tab w:leader="none" w:pos="1499" w:val="left"/>
        </w:tabs>
        <w:numPr>
          <w:ilvl w:val="0"/>
          <w:numId w:val="12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Units in Century Therapeutics, LLC (prior to the 2021 Reorganization) </w:t>
      </w:r>
      <w:r>
        <w:rPr>
          <w:rFonts w:ascii="Arial" w:cs="Arial" w:eastAsia="Arial" w:hAnsi="Arial"/>
          <w:sz w:val="14"/>
          <w:szCs w:val="14"/>
          <w:i w:val="1"/>
          <w:iCs w:val="1"/>
          <w:color w:val="auto"/>
        </w:rPr>
        <w:t>a. Century Therapeutics, Inc. and Bayer HealthCare LLC</w:t>
      </w:r>
    </w:p>
    <w:p>
      <w:pPr>
        <w:spacing w:after="0" w:line="1"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On June 21, 2019, we issued 26,143,790 units to Bayer and 67,226,891 units to Prior Century in connection with the Commitment Agreement. Pursuant to the Commitment Agreement, Bayer agreed to make an aggregate cash contribution to us in the amount of $145 million as consideration for the 26,143,790 units issued to Bayer. Pursuant to the Commitment Agreement and a Contribution Agreement between Prior Century and us, dated June 21, 2019, or the Contribution Agreement, Prior Century contributed substantially all of its assets including contracts, intellectual property and research and development assets, as consideration for the 67,226,891 units issued to Prior Century.</w:t>
      </w:r>
    </w:p>
    <w:p>
      <w:pPr>
        <w:spacing w:after="0" w:line="274" w:lineRule="exact"/>
        <w:rPr>
          <w:sz w:val="20"/>
          <w:szCs w:val="20"/>
          <w:color w:val="auto"/>
        </w:rPr>
      </w:pPr>
    </w:p>
    <w:p>
      <w:pPr>
        <w:ind w:left="1500"/>
        <w:spacing w:after="0"/>
        <w:tabs>
          <w:tab w:leader="none" w:pos="1740" w:val="left"/>
        </w:tabs>
        <w:rPr>
          <w:sz w:val="20"/>
          <w:szCs w:val="20"/>
          <w:color w:val="auto"/>
        </w:rPr>
      </w:pPr>
      <w:r>
        <w:rPr>
          <w:rFonts w:ascii="Arial" w:cs="Arial" w:eastAsia="Arial" w:hAnsi="Arial"/>
          <w:sz w:val="14"/>
          <w:szCs w:val="14"/>
          <w:i w:val="1"/>
          <w:iCs w:val="1"/>
          <w:color w:val="auto"/>
        </w:rPr>
        <w:t>b.</w:t>
        <w:tab/>
        <w:t>Hercules Capital, Inc.</w:t>
      </w:r>
    </w:p>
    <w:p>
      <w:pPr>
        <w:spacing w:after="0" w:line="142"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On September 14, 2020, we issued a warrant, or the Hercules Warrant, to purchase units at an exercise price of $5.55 per unit to Hercules Technology Management Co II, Inc., in connection with a Loan and Security Agreement by and between Hercules Capital, Inc., or together with Hercules Technology Management Co II, Inc., Hercules, and us, or the Loan and Security Agreement, whereby Hercules acted as administrative agent and collateral agent for a loan in an aggregate principal amount of up to $30 million. In connection with the 2021 Reorganization, the Hercules Warrant converted to a warrant to purchase shares of our common stock. The Hercules Warrant provides for warrant coverage of 2.25% of the aggregate principal amount of the term loan advances made to us under the Loan and Security Agreement. There are three $10 million tranches available under the Loan and Security Agreement. As of April 30, 2021, the aggregate principal amount outstanding under the Loan and Security Agreement is $10 million, providing for warrant coverage of 16,112 shares. If we draw on any additional tranches under the Loan and Security Agreement, the number of shares of our common stock underlying the Hercules Warrant will increase proportionally, up to a maximum aggregate amount of 48,337 shares. The issuance of shares upon exercise by Hercules will constitute a transaction exempt from the registration requirements of Section 5 of the Securities Act, in reliance upon Section 4(a)(2) thereof.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3" w:name="page274"/>
    <w:bookmarkEnd w:id="273"/>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hanging="254"/>
        <w:spacing w:after="0"/>
        <w:tabs>
          <w:tab w:leader="none" w:pos="1760" w:val="left"/>
        </w:tabs>
        <w:numPr>
          <w:ilvl w:val="0"/>
          <w:numId w:val="127"/>
        </w:numPr>
        <w:rPr>
          <w:rFonts w:ascii="Arial" w:cs="Arial" w:eastAsia="Arial" w:hAnsi="Arial"/>
          <w:sz w:val="14"/>
          <w:szCs w:val="14"/>
          <w:color w:val="auto"/>
        </w:rPr>
      </w:pPr>
      <w:r>
        <w:rPr>
          <w:rFonts w:ascii="Arial" w:cs="Arial" w:eastAsia="Arial" w:hAnsi="Arial"/>
          <w:sz w:val="14"/>
          <w:szCs w:val="14"/>
          <w:i w:val="1"/>
          <w:iCs w:val="1"/>
          <w:color w:val="auto"/>
        </w:rPr>
        <w:t>Century Therapeutics, Inc.</w:t>
      </w:r>
    </w:p>
    <w:p>
      <w:pPr>
        <w:spacing w:after="0" w:line="13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Following the determination of the board of managers of Century Therapeutics, LLC that the available shares of Prior Century common stock authorized for issuance under the 2018 Plan was insufficient to incentivize and encourage the current and prospective employees, consultants, independent contractors and other persons providing services to us, on January 1, 2021, we issued 3,021,890 units to Prior Century pursuant to Section 8.14 of our Amended and Restated Limited Liability Company Agreement, as amended. Following the issuance of such units to Prior Century, the number of shares of common stock of Prior Century reserved for issuance under the 2018 Plan was increased by 3,021,890.</w:t>
      </w:r>
    </w:p>
    <w:p>
      <w:pPr>
        <w:spacing w:after="0" w:line="309" w:lineRule="exact"/>
        <w:rPr>
          <w:sz w:val="20"/>
          <w:szCs w:val="20"/>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Corporate Reorganization</w:t>
      </w:r>
    </w:p>
    <w:p>
      <w:pPr>
        <w:spacing w:after="0" w:line="112" w:lineRule="exact"/>
        <w:rPr>
          <w:rFonts w:ascii="Arial" w:cs="Arial" w:eastAsia="Arial" w:hAnsi="Arial"/>
          <w:sz w:val="14"/>
          <w:szCs w:val="14"/>
          <w:b w:val="1"/>
          <w:bCs w:val="1"/>
          <w:i w:val="1"/>
          <w:iCs w:val="1"/>
          <w:color w:val="auto"/>
        </w:rPr>
      </w:pPr>
    </w:p>
    <w:p>
      <w:pPr>
        <w:ind w:left="1760" w:right="1339" w:hanging="254"/>
        <w:spacing w:after="0" w:line="273"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connection with the 2021 Reorganization, all units held by Bayer were converted into an aggregate of 26,143,790 shares of our Series B preferred stock, and the units held by Prior Century were converted into 35,000,000 shares of our Class 1 Series A preferred stock and 35,248,781 shares of our Class 1 common stock. Immediately upon the completion of the 2021 Reorganization, Prior Century merged with and into us, and all shares of Class 1 Series A preferred stock and Class 1 common stock were cancelled for no consideration, and the holders of equity interests in Prior Century exchanged all of such equity interests in Prior Century for an aggregate of 35,000,000 shares of our Series A preferred stock and 24,381,382 shares of our common stock.</w:t>
      </w:r>
    </w:p>
    <w:p>
      <w:pPr>
        <w:spacing w:after="0" w:line="124"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Series C Preferred Stock</w:t>
      </w:r>
    </w:p>
    <w:p>
      <w:pPr>
        <w:spacing w:after="0" w:line="112" w:lineRule="exact"/>
        <w:rPr>
          <w:rFonts w:ascii="Arial" w:cs="Arial" w:eastAsia="Arial" w:hAnsi="Arial"/>
          <w:sz w:val="14"/>
          <w:szCs w:val="14"/>
          <w:b w:val="1"/>
          <w:bCs w:val="1"/>
          <w:i w:val="1"/>
          <w:iCs w:val="1"/>
          <w:color w:val="auto"/>
        </w:rPr>
      </w:pPr>
    </w:p>
    <w:p>
      <w:pPr>
        <w:ind w:left="1760" w:right="1279" w:hanging="254"/>
        <w:spacing w:after="0" w:line="281"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On February 25, 2021, we completed an offering of Series C preferred stock to various institutional investors. We issued a total of 24,721,999 shares of Series C preferred stock, at a price per share of approximately $6.472, for total gross proceeds of approximately $160 million.</w:t>
      </w:r>
    </w:p>
    <w:p>
      <w:pPr>
        <w:spacing w:after="0" w:line="296"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Warrant to Purchase Common Stock</w:t>
      </w:r>
    </w:p>
    <w:p>
      <w:pPr>
        <w:spacing w:after="0" w:line="101" w:lineRule="exact"/>
        <w:rPr>
          <w:rFonts w:ascii="Arial" w:cs="Arial" w:eastAsia="Arial" w:hAnsi="Arial"/>
          <w:sz w:val="14"/>
          <w:szCs w:val="14"/>
          <w:b w:val="1"/>
          <w:bCs w:val="1"/>
          <w:i w:val="1"/>
          <w:iCs w:val="1"/>
          <w:color w:val="auto"/>
        </w:rPr>
      </w:pPr>
    </w:p>
    <w:p>
      <w:pPr>
        <w:ind w:left="1760" w:right="1299" w:hanging="254"/>
        <w:spacing w:after="0" w:line="273"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On January 22, 2021 we entered into a consulting agreement with Danforth Advisors, LLC, or Danforth, pursuant to which Danforth agreed to serve as an independent consultant for the purpose of providing us with certain strategic and financial advice and support services in connection with the offering. As compensation for Danforth’s services, on May 27, 2021, we issued Danforth a warrant to purchase 15,897 shares of our common stock at an exercise price of $7.27 per share, or the Danforth Warrant. The Danforth Warrant is immediately exercisable and will expire on May 27, 2031.</w:t>
      </w:r>
    </w:p>
    <w:p>
      <w:pPr>
        <w:spacing w:after="0" w:line="126" w:lineRule="exact"/>
        <w:rPr>
          <w:rFonts w:ascii="Arial" w:cs="Arial" w:eastAsia="Arial" w:hAnsi="Arial"/>
          <w:sz w:val="14"/>
          <w:szCs w:val="14"/>
          <w:color w:val="auto"/>
        </w:rPr>
      </w:pPr>
    </w:p>
    <w:p>
      <w:pPr>
        <w:ind w:left="1500" w:hanging="251"/>
        <w:spacing w:after="0"/>
        <w:tabs>
          <w:tab w:leader="none" w:pos="150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Equity Awards</w:t>
      </w:r>
    </w:p>
    <w:p>
      <w:pPr>
        <w:spacing w:after="0" w:line="112" w:lineRule="exact"/>
        <w:rPr>
          <w:rFonts w:ascii="Arial" w:cs="Arial" w:eastAsia="Arial" w:hAnsi="Arial"/>
          <w:sz w:val="14"/>
          <w:szCs w:val="14"/>
          <w:b w:val="1"/>
          <w:bCs w:val="1"/>
          <w:i w:val="1"/>
          <w:iCs w:val="1"/>
          <w:color w:val="auto"/>
        </w:rPr>
      </w:pPr>
    </w:p>
    <w:p>
      <w:pPr>
        <w:ind w:left="1760" w:right="1339" w:hanging="254"/>
        <w:spacing w:after="0" w:line="276"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Since our inception, we have granted stock options to employees, officers, directors and consultants, covering an aggregate of 7,402,974 shares of our common stock, having a weighted average exercise price of $3.44 per share, in connection with services provided to us by such parties.</w:t>
      </w:r>
    </w:p>
    <w:p>
      <w:pPr>
        <w:spacing w:after="0" w:line="94" w:lineRule="exact"/>
        <w:rPr>
          <w:rFonts w:ascii="Arial" w:cs="Arial" w:eastAsia="Arial" w:hAnsi="Arial"/>
          <w:sz w:val="14"/>
          <w:szCs w:val="14"/>
          <w:color w:val="auto"/>
        </w:rPr>
      </w:pPr>
    </w:p>
    <w:p>
      <w:pPr>
        <w:ind w:left="1760" w:right="1519" w:hanging="254"/>
        <w:spacing w:after="0" w:line="278" w:lineRule="auto"/>
        <w:tabs>
          <w:tab w:leader="none" w:pos="176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Since our inception, we have issued an aggregate of 1,840,840 shares of our common stock to employees, officers, directors, and consultants upon their exercise of stock options, for aggregate cash consideration of approximately $3.5 million.</w:t>
      </w:r>
    </w:p>
    <w:p>
      <w:pPr>
        <w:spacing w:after="0" w:line="9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09" w:lineRule="exact"/>
        <w:rPr>
          <w:sz w:val="20"/>
          <w:szCs w:val="20"/>
          <w:color w:val="auto"/>
        </w:rPr>
      </w:pPr>
    </w:p>
    <w:p>
      <w:pPr>
        <w:ind w:left="1240" w:right="1959"/>
        <w:spacing w:after="0" w:line="270"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4" w:name="page275"/>
    <w:bookmarkEnd w:id="274"/>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56" w:lineRule="exact"/>
        <w:rPr>
          <w:sz w:val="20"/>
          <w:szCs w:val="20"/>
          <w:color w:val="auto"/>
        </w:rPr>
      </w:pPr>
    </w:p>
    <w:p>
      <w:pPr>
        <w:ind w:left="1240"/>
        <w:spacing w:after="0"/>
        <w:tabs>
          <w:tab w:leader="none" w:pos="1540" w:val="left"/>
        </w:tabs>
        <w:rPr>
          <w:sz w:val="20"/>
          <w:szCs w:val="20"/>
          <w:color w:val="auto"/>
        </w:rPr>
      </w:pPr>
      <w:r>
        <w:rPr>
          <w:rFonts w:ascii="Arial" w:cs="Arial" w:eastAsia="Arial" w:hAnsi="Arial"/>
          <w:sz w:val="14"/>
          <w:szCs w:val="14"/>
          <w:b w:val="1"/>
          <w:bCs w:val="1"/>
          <w:i w:val="1"/>
          <w:iCs w:val="1"/>
          <w:color w:val="auto"/>
        </w:rPr>
        <w:t>(a)</w:t>
        <w:tab/>
        <w:t>Exhibits.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exhibits listed below are filed as part of this Registration Statement.</w:t>
      </w:r>
    </w:p>
    <w:p>
      <w:pPr>
        <w:sectPr>
          <w:pgSz w:w="11900" w:h="16838" w:orient="portrait"/>
          <w:cols w:equalWidth="0" w:num="1">
            <w:col w:w="9019"/>
          </w:cols>
          <w:pgMar w:left="1440" w:top="134" w:right="1440" w:bottom="1440" w:gutter="0" w:footer="0" w:header="0"/>
        </w:sectPr>
      </w:pP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16510</wp:posOffset>
            </wp:positionV>
            <wp:extent cx="469201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692015" cy="698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900" w:space="720"/>
            <w:col w:w="4399"/>
          </w:cols>
          <w:pgMar w:left="1440" w:top="134" w:right="1440" w:bottom="1440" w:gutter="0" w:footer="0" w:header="0"/>
          <w:type w:val="continuous"/>
        </w:sectPr>
      </w:pPr>
    </w:p>
    <w:p>
      <w:pPr>
        <w:ind w:left="1580"/>
        <w:spacing w:after="0"/>
        <w:rPr>
          <w:rFonts w:ascii="Arial" w:cs="Arial" w:eastAsia="Arial" w:hAnsi="Arial"/>
          <w:sz w:val="14"/>
          <w:szCs w:val="14"/>
          <w:color w:val="auto"/>
        </w:rPr>
      </w:pPr>
      <w:r>
        <w:rPr>
          <w:rFonts w:ascii="Arial" w:cs="Arial" w:eastAsia="Arial" w:hAnsi="Arial"/>
          <w:sz w:val="14"/>
          <w:szCs w:val="14"/>
          <w:color w:val="auto"/>
        </w:rPr>
        <w:t xml:space="preserve">1.1 </w:t>
      </w:r>
      <w:hyperlink w:anchor="page280">
        <w:r>
          <w:rPr>
            <w:rFonts w:ascii="Arial" w:cs="Arial" w:eastAsia="Arial" w:hAnsi="Arial"/>
            <w:sz w:val="14"/>
            <w:szCs w:val="14"/>
            <w:u w:val="single" w:color="auto"/>
            <w:color w:val="0000EE"/>
          </w:rPr>
          <w:t>Form of Underwriting Agreement</w:t>
        </w:r>
      </w:hyperlink>
    </w:p>
    <w:p>
      <w:pPr>
        <w:spacing w:after="0" w:line="32"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3.1# </w:t>
      </w:r>
      <w:hyperlink r:id="rId530">
        <w:r>
          <w:rPr>
            <w:rFonts w:ascii="Arial" w:cs="Arial" w:eastAsia="Arial" w:hAnsi="Arial"/>
            <w:sz w:val="14"/>
            <w:szCs w:val="14"/>
            <w:u w:val="single" w:color="auto"/>
            <w:color w:val="0000EE"/>
          </w:rPr>
          <w:t>Amended and Restated Certificate of Incorporation, as currently in effect</w:t>
        </w:r>
      </w:hyperlink>
    </w:p>
    <w:p>
      <w:pPr>
        <w:spacing w:after="0" w:line="32" w:lineRule="exact"/>
        <w:rPr>
          <w:sz w:val="20"/>
          <w:szCs w:val="20"/>
          <w:color w:val="auto"/>
        </w:rPr>
      </w:pPr>
    </w:p>
    <w:p>
      <w:pPr>
        <w:ind w:left="1580"/>
        <w:spacing w:after="0"/>
        <w:rPr>
          <w:rFonts w:ascii="Arial" w:cs="Arial" w:eastAsia="Arial" w:hAnsi="Arial"/>
          <w:sz w:val="14"/>
          <w:szCs w:val="14"/>
          <w:color w:val="auto"/>
        </w:rPr>
      </w:pPr>
      <w:r>
        <w:rPr>
          <w:rFonts w:ascii="Arial" w:cs="Arial" w:eastAsia="Arial" w:hAnsi="Arial"/>
          <w:sz w:val="14"/>
          <w:szCs w:val="14"/>
          <w:color w:val="auto"/>
        </w:rPr>
        <w:t xml:space="preserve">3.2 </w:t>
      </w:r>
      <w:hyperlink w:anchor="page328">
        <w:r>
          <w:rPr>
            <w:rFonts w:ascii="Arial" w:cs="Arial" w:eastAsia="Arial" w:hAnsi="Arial"/>
            <w:sz w:val="14"/>
            <w:szCs w:val="14"/>
            <w:u w:val="single" w:color="auto"/>
            <w:color w:val="0000EE"/>
          </w:rPr>
          <w:t>Certificate of Amendment to Amended and Restated Certificate of Incorporation</w:t>
        </w:r>
      </w:hyperlink>
    </w:p>
    <w:p>
      <w:pPr>
        <w:spacing w:after="0" w:line="10" w:lineRule="exact"/>
        <w:rPr>
          <w:sz w:val="20"/>
          <w:szCs w:val="20"/>
          <w:color w:val="auto"/>
        </w:rPr>
      </w:pPr>
    </w:p>
    <w:p>
      <w:pPr>
        <w:ind w:left="1800" w:right="819" w:hanging="219"/>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3.3 </w:t>
      </w:r>
      <w:hyperlink w:anchor="page330">
        <w:r>
          <w:rPr>
            <w:rFonts w:ascii="Arial" w:cs="Arial" w:eastAsia="Arial" w:hAnsi="Arial"/>
            <w:sz w:val="14"/>
            <w:szCs w:val="14"/>
            <w:u w:val="single" w:color="auto"/>
            <w:color w:val="0000EE"/>
          </w:rPr>
          <w:t>Form of Second Amended and Restated Certificate of Incorporation, which will become effective</w:t>
        </w:r>
      </w:hyperlink>
      <w:r>
        <w:rPr>
          <w:rFonts w:ascii="Arial" w:cs="Arial" w:eastAsia="Arial" w:hAnsi="Arial"/>
          <w:sz w:val="14"/>
          <w:szCs w:val="14"/>
          <w:color w:val="auto"/>
        </w:rPr>
        <w:t xml:space="preserve"> </w:t>
      </w:r>
      <w:hyperlink w:anchor="page330">
        <w:r>
          <w:rPr>
            <w:rFonts w:ascii="Arial" w:cs="Arial" w:eastAsia="Arial" w:hAnsi="Arial"/>
            <w:sz w:val="14"/>
            <w:szCs w:val="14"/>
            <w:u w:val="single" w:color="auto"/>
            <w:color w:val="0000EE"/>
          </w:rPr>
          <w:t>immediately prior to the closing of this offering</w:t>
        </w:r>
      </w:hyperlink>
    </w:p>
    <w:p>
      <w:pPr>
        <w:spacing w:after="0" w:line="34"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3.4# </w:t>
      </w:r>
      <w:hyperlink r:id="rId531">
        <w:r>
          <w:rPr>
            <w:rFonts w:ascii="Arial" w:cs="Arial" w:eastAsia="Arial" w:hAnsi="Arial"/>
            <w:sz w:val="14"/>
            <w:szCs w:val="14"/>
            <w:u w:val="single" w:color="auto"/>
            <w:color w:val="0000EE"/>
          </w:rPr>
          <w:t>Bylaws, as currently in effect</w:t>
        </w:r>
      </w:hyperlink>
    </w:p>
    <w:p>
      <w:pPr>
        <w:spacing w:after="0" w:line="10" w:lineRule="exact"/>
        <w:rPr>
          <w:sz w:val="20"/>
          <w:szCs w:val="20"/>
          <w:color w:val="auto"/>
        </w:rPr>
      </w:pPr>
    </w:p>
    <w:p>
      <w:pPr>
        <w:ind w:left="1800" w:right="539" w:hanging="219"/>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3.5 </w:t>
      </w:r>
      <w:hyperlink w:anchor="page337">
        <w:r>
          <w:rPr>
            <w:rFonts w:ascii="Arial" w:cs="Arial" w:eastAsia="Arial" w:hAnsi="Arial"/>
            <w:sz w:val="14"/>
            <w:szCs w:val="14"/>
            <w:u w:val="single" w:color="auto"/>
            <w:color w:val="0000EE"/>
          </w:rPr>
          <w:t>Form of Amended and Restated Bylaws, which will become effective immediately prior to the closing</w:t>
        </w:r>
      </w:hyperlink>
      <w:r>
        <w:rPr>
          <w:rFonts w:ascii="Arial" w:cs="Arial" w:eastAsia="Arial" w:hAnsi="Arial"/>
          <w:sz w:val="14"/>
          <w:szCs w:val="14"/>
          <w:color w:val="auto"/>
        </w:rPr>
        <w:t xml:space="preserve"> </w:t>
      </w:r>
      <w:hyperlink w:anchor="page337">
        <w:r>
          <w:rPr>
            <w:rFonts w:ascii="Arial" w:cs="Arial" w:eastAsia="Arial" w:hAnsi="Arial"/>
            <w:sz w:val="14"/>
            <w:szCs w:val="14"/>
            <w:u w:val="single" w:color="auto"/>
            <w:color w:val="0000EE"/>
          </w:rPr>
          <w:t>of this offering</w:t>
        </w:r>
      </w:hyperlink>
    </w:p>
    <w:p>
      <w:pPr>
        <w:spacing w:after="0" w:line="34" w:lineRule="exact"/>
        <w:rPr>
          <w:sz w:val="20"/>
          <w:szCs w:val="20"/>
          <w:color w:val="auto"/>
        </w:rPr>
      </w:pPr>
    </w:p>
    <w:p>
      <w:pPr>
        <w:ind w:left="1580"/>
        <w:spacing w:after="0"/>
        <w:rPr>
          <w:rFonts w:ascii="Arial" w:cs="Arial" w:eastAsia="Arial" w:hAnsi="Arial"/>
          <w:sz w:val="14"/>
          <w:szCs w:val="14"/>
          <w:color w:val="auto"/>
        </w:rPr>
      </w:pPr>
      <w:r>
        <w:rPr>
          <w:rFonts w:ascii="Arial" w:cs="Arial" w:eastAsia="Arial" w:hAnsi="Arial"/>
          <w:sz w:val="14"/>
          <w:szCs w:val="14"/>
          <w:color w:val="auto"/>
        </w:rPr>
        <w:t xml:space="preserve">4.1 </w:t>
      </w:r>
      <w:hyperlink w:anchor="page360">
        <w:r>
          <w:rPr>
            <w:rFonts w:ascii="Arial" w:cs="Arial" w:eastAsia="Arial" w:hAnsi="Arial"/>
            <w:sz w:val="14"/>
            <w:szCs w:val="14"/>
            <w:u w:val="single" w:color="auto"/>
            <w:color w:val="0000EE"/>
          </w:rPr>
          <w:t>Specimen Common Stock Certificate of Registrant</w:t>
        </w:r>
      </w:hyperlink>
    </w:p>
    <w:p>
      <w:pPr>
        <w:spacing w:after="0" w:line="10" w:lineRule="exact"/>
        <w:rPr>
          <w:sz w:val="20"/>
          <w:szCs w:val="20"/>
          <w:color w:val="auto"/>
        </w:rPr>
      </w:pPr>
    </w:p>
    <w:p>
      <w:pPr>
        <w:ind w:left="1800" w:right="97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4.2# </w:t>
      </w:r>
      <w:hyperlink r:id="rId532">
        <w:r>
          <w:rPr>
            <w:rFonts w:ascii="Arial" w:cs="Arial" w:eastAsia="Arial" w:hAnsi="Arial"/>
            <w:sz w:val="14"/>
            <w:szCs w:val="14"/>
            <w:u w:val="single" w:color="auto"/>
            <w:color w:val="0000EE"/>
          </w:rPr>
          <w:t>Investors’ Rights Agreement, by and among the Registrant and each of the investors listed on</w:t>
        </w:r>
      </w:hyperlink>
      <w:r>
        <w:rPr>
          <w:rFonts w:ascii="Arial" w:cs="Arial" w:eastAsia="Arial" w:hAnsi="Arial"/>
          <w:sz w:val="14"/>
          <w:szCs w:val="14"/>
          <w:color w:val="auto"/>
        </w:rPr>
        <w:t xml:space="preserve"> </w:t>
      </w:r>
      <w:hyperlink r:id="rId532">
        <w:r>
          <w:rPr>
            <w:rFonts w:ascii="Arial" w:cs="Arial" w:eastAsia="Arial" w:hAnsi="Arial"/>
            <w:sz w:val="14"/>
            <w:szCs w:val="14"/>
            <w:u w:val="single" w:color="auto"/>
            <w:color w:val="0000EE"/>
          </w:rPr>
          <w:t>Schedule A thereto, dated February 25, 2021</w:t>
        </w:r>
      </w:hyperlink>
    </w:p>
    <w:p>
      <w:pPr>
        <w:spacing w:after="0" w:line="2" w:lineRule="exact"/>
        <w:rPr>
          <w:sz w:val="20"/>
          <w:szCs w:val="20"/>
          <w:color w:val="auto"/>
        </w:rPr>
      </w:pPr>
    </w:p>
    <w:p>
      <w:pPr>
        <w:ind w:left="1800" w:right="1259" w:hanging="298"/>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4.3# </w:t>
      </w:r>
      <w:hyperlink r:id="rId533">
        <w:r>
          <w:rPr>
            <w:rFonts w:ascii="Arial" w:cs="Arial" w:eastAsia="Arial" w:hAnsi="Arial"/>
            <w:sz w:val="14"/>
            <w:szCs w:val="14"/>
            <w:u w:val="single" w:color="auto"/>
            <w:color w:val="0000EE"/>
          </w:rPr>
          <w:t>Warrant to Purchase Units of Century Therapeutics, LLC, in favor of Hercules Technology</w:t>
        </w:r>
      </w:hyperlink>
      <w:r>
        <w:rPr>
          <w:rFonts w:ascii="Arial" w:cs="Arial" w:eastAsia="Arial" w:hAnsi="Arial"/>
          <w:sz w:val="14"/>
          <w:szCs w:val="14"/>
          <w:color w:val="auto"/>
        </w:rPr>
        <w:t xml:space="preserve"> </w:t>
      </w:r>
      <w:hyperlink r:id="rId533">
        <w:r>
          <w:rPr>
            <w:rFonts w:ascii="Arial" w:cs="Arial" w:eastAsia="Arial" w:hAnsi="Arial"/>
            <w:sz w:val="14"/>
            <w:szCs w:val="14"/>
            <w:u w:val="single" w:color="auto"/>
            <w:color w:val="0000EE"/>
          </w:rPr>
          <w:t>Management Co II, Inc., dated September 14, 2020</w:t>
        </w:r>
      </w:hyperlink>
    </w:p>
    <w:p>
      <w:pPr>
        <w:spacing w:after="0" w:line="34" w:lineRule="exact"/>
        <w:rPr>
          <w:sz w:val="20"/>
          <w:szCs w:val="20"/>
          <w:color w:val="auto"/>
        </w:rPr>
      </w:pPr>
    </w:p>
    <w:p>
      <w:pPr>
        <w:ind w:left="1580"/>
        <w:spacing w:after="0"/>
        <w:rPr>
          <w:rFonts w:ascii="Arial" w:cs="Arial" w:eastAsia="Arial" w:hAnsi="Arial"/>
          <w:sz w:val="14"/>
          <w:szCs w:val="14"/>
          <w:color w:val="auto"/>
        </w:rPr>
      </w:pPr>
      <w:r>
        <w:rPr>
          <w:rFonts w:ascii="Arial" w:cs="Arial" w:eastAsia="Arial" w:hAnsi="Arial"/>
          <w:sz w:val="14"/>
          <w:szCs w:val="14"/>
          <w:color w:val="auto"/>
        </w:rPr>
        <w:t xml:space="preserve">5.1 </w:t>
      </w:r>
      <w:hyperlink w:anchor="page362">
        <w:r>
          <w:rPr>
            <w:rFonts w:ascii="Arial" w:cs="Arial" w:eastAsia="Arial" w:hAnsi="Arial"/>
            <w:sz w:val="14"/>
            <w:szCs w:val="14"/>
            <w:u w:val="single" w:color="auto"/>
            <w:color w:val="0000EE"/>
          </w:rPr>
          <w:t>Opinion of Troutman Pepper Hamilton Sanders LLP</w:t>
        </w:r>
      </w:hyperlink>
    </w:p>
    <w:p>
      <w:pPr>
        <w:spacing w:after="0" w:line="10" w:lineRule="exact"/>
        <w:rPr>
          <w:sz w:val="20"/>
          <w:szCs w:val="20"/>
          <w:color w:val="auto"/>
        </w:rPr>
      </w:pPr>
    </w:p>
    <w:p>
      <w:pPr>
        <w:ind w:left="1800" w:right="719" w:hanging="42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 </w:t>
      </w:r>
      <w:hyperlink r:id="rId534">
        <w:r>
          <w:rPr>
            <w:rFonts w:ascii="Arial" w:cs="Arial" w:eastAsia="Arial" w:hAnsi="Arial"/>
            <w:sz w:val="14"/>
            <w:szCs w:val="14"/>
            <w:u w:val="single" w:color="auto"/>
            <w:color w:val="0000EE"/>
          </w:rPr>
          <w:t>Form of Indemnification Agreement by and between the Registrant and its individual directors and</w:t>
        </w:r>
      </w:hyperlink>
      <w:r>
        <w:rPr>
          <w:rFonts w:ascii="Arial" w:cs="Arial" w:eastAsia="Arial" w:hAnsi="Arial"/>
          <w:sz w:val="14"/>
          <w:szCs w:val="14"/>
          <w:color w:val="auto"/>
        </w:rPr>
        <w:t xml:space="preserve"> </w:t>
      </w:r>
      <w:hyperlink r:id="rId534">
        <w:r>
          <w:rPr>
            <w:rFonts w:ascii="Arial" w:cs="Arial" w:eastAsia="Arial" w:hAnsi="Arial"/>
            <w:sz w:val="14"/>
            <w:szCs w:val="14"/>
            <w:u w:val="single" w:color="auto"/>
            <w:color w:val="0000EE"/>
          </w:rPr>
          <w:t>officers</w:t>
        </w:r>
      </w:hyperlink>
    </w:p>
    <w:p>
      <w:pPr>
        <w:spacing w:after="0" w:line="34"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10.2•# </w:t>
      </w:r>
      <w:hyperlink r:id="rId535">
        <w:r>
          <w:rPr>
            <w:rFonts w:ascii="Arial" w:cs="Arial" w:eastAsia="Arial" w:hAnsi="Arial"/>
            <w:sz w:val="14"/>
            <w:szCs w:val="14"/>
            <w:u w:val="single" w:color="auto"/>
            <w:color w:val="0000EE"/>
          </w:rPr>
          <w:t>2018 Stock Option and Grant Plan</w:t>
        </w:r>
      </w:hyperlink>
    </w:p>
    <w:p>
      <w:pPr>
        <w:spacing w:after="0" w:line="42"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10.3•# </w:t>
      </w:r>
      <w:hyperlink r:id="rId536">
        <w:r>
          <w:rPr>
            <w:rFonts w:ascii="Arial" w:cs="Arial" w:eastAsia="Arial" w:hAnsi="Arial"/>
            <w:sz w:val="14"/>
            <w:szCs w:val="14"/>
            <w:u w:val="single" w:color="auto"/>
            <w:color w:val="0000EE"/>
          </w:rPr>
          <w:t>Amendment No. 1 to 2018 Stock Option and Grant Plan</w:t>
        </w:r>
      </w:hyperlink>
    </w:p>
    <w:p>
      <w:pPr>
        <w:spacing w:after="0" w:line="42"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10.4•# </w:t>
      </w:r>
      <w:hyperlink r:id="rId537">
        <w:r>
          <w:rPr>
            <w:rFonts w:ascii="Arial" w:cs="Arial" w:eastAsia="Arial" w:hAnsi="Arial"/>
            <w:sz w:val="14"/>
            <w:szCs w:val="14"/>
            <w:u w:val="single" w:color="auto"/>
            <w:color w:val="0000EE"/>
          </w:rPr>
          <w:t>Amendment No. 2 to 2018 Stock Option and Grant Plan</w:t>
        </w:r>
      </w:hyperlink>
    </w:p>
    <w:p>
      <w:pPr>
        <w:spacing w:after="0" w:line="42"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10.5•# </w:t>
      </w:r>
      <w:hyperlink r:id="rId538">
        <w:r>
          <w:rPr>
            <w:rFonts w:ascii="Arial" w:cs="Arial" w:eastAsia="Arial" w:hAnsi="Arial"/>
            <w:sz w:val="14"/>
            <w:szCs w:val="14"/>
            <w:u w:val="single" w:color="auto"/>
            <w:color w:val="0000EE"/>
          </w:rPr>
          <w:t>Amendment No. 3 to 2018 Stock Option and Grant Plan</w:t>
        </w:r>
      </w:hyperlink>
    </w:p>
    <w:p>
      <w:pPr>
        <w:spacing w:after="0" w:line="42"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10.6•# </w:t>
      </w:r>
      <w:hyperlink r:id="rId539">
        <w:r>
          <w:rPr>
            <w:rFonts w:ascii="Arial" w:cs="Arial" w:eastAsia="Arial" w:hAnsi="Arial"/>
            <w:sz w:val="14"/>
            <w:szCs w:val="14"/>
            <w:u w:val="single" w:color="auto"/>
            <w:color w:val="0000EE"/>
          </w:rPr>
          <w:t>Amendment No. 4 to 2018 Stock Option and Grant Plan</w:t>
        </w:r>
      </w:hyperlink>
    </w:p>
    <w:p>
      <w:pPr>
        <w:spacing w:after="0" w:line="42" w:lineRule="exact"/>
        <w:rPr>
          <w:sz w:val="20"/>
          <w:szCs w:val="20"/>
          <w:color w:val="auto"/>
        </w:rPr>
      </w:pPr>
    </w:p>
    <w:p>
      <w:pPr>
        <w:ind w:left="1380"/>
        <w:spacing w:after="0"/>
        <w:rPr>
          <w:rFonts w:ascii="Arial" w:cs="Arial" w:eastAsia="Arial" w:hAnsi="Arial"/>
          <w:sz w:val="14"/>
          <w:szCs w:val="14"/>
          <w:color w:val="auto"/>
        </w:rPr>
      </w:pPr>
      <w:r>
        <w:rPr>
          <w:rFonts w:ascii="Arial" w:cs="Arial" w:eastAsia="Arial" w:hAnsi="Arial"/>
          <w:sz w:val="14"/>
          <w:szCs w:val="14"/>
          <w:color w:val="auto"/>
        </w:rPr>
        <w:t xml:space="preserve">10.7•# </w:t>
      </w:r>
      <w:hyperlink r:id="rId540">
        <w:r>
          <w:rPr>
            <w:rFonts w:ascii="Arial" w:cs="Arial" w:eastAsia="Arial" w:hAnsi="Arial"/>
            <w:sz w:val="14"/>
            <w:szCs w:val="14"/>
            <w:u w:val="single" w:color="auto"/>
            <w:color w:val="0000EE"/>
          </w:rPr>
          <w:t>Amendment No. 5 to 2018 Stock Option and Grant Plan</w:t>
        </w:r>
      </w:hyperlink>
    </w:p>
    <w:p>
      <w:pPr>
        <w:spacing w:after="0" w:line="42" w:lineRule="exact"/>
        <w:rPr>
          <w:sz w:val="20"/>
          <w:szCs w:val="20"/>
          <w:color w:val="auto"/>
        </w:rPr>
      </w:pPr>
    </w:p>
    <w:p>
      <w:pPr>
        <w:ind w:left="1460"/>
        <w:spacing w:after="0"/>
        <w:rPr>
          <w:rFonts w:ascii="Arial" w:cs="Arial" w:eastAsia="Arial" w:hAnsi="Arial"/>
          <w:sz w:val="14"/>
          <w:szCs w:val="14"/>
          <w:color w:val="auto"/>
        </w:rPr>
      </w:pPr>
      <w:r>
        <w:rPr>
          <w:rFonts w:ascii="Arial" w:cs="Arial" w:eastAsia="Arial" w:hAnsi="Arial"/>
          <w:sz w:val="14"/>
          <w:szCs w:val="14"/>
          <w:color w:val="auto"/>
        </w:rPr>
        <w:t xml:space="preserve">10.8• </w:t>
      </w:r>
      <w:hyperlink w:anchor="page364">
        <w:r>
          <w:rPr>
            <w:rFonts w:ascii="Arial" w:cs="Arial" w:eastAsia="Arial" w:hAnsi="Arial"/>
            <w:sz w:val="14"/>
            <w:szCs w:val="14"/>
            <w:u w:val="single" w:color="auto"/>
            <w:color w:val="0000EE"/>
          </w:rPr>
          <w:t>2021 Equity Incentive Plan</w:t>
        </w:r>
      </w:hyperlink>
    </w:p>
    <w:p>
      <w:pPr>
        <w:spacing w:after="0" w:line="42" w:lineRule="exact"/>
        <w:rPr>
          <w:sz w:val="20"/>
          <w:szCs w:val="20"/>
          <w:color w:val="auto"/>
        </w:rPr>
      </w:pPr>
    </w:p>
    <w:p>
      <w:pPr>
        <w:ind w:left="1460"/>
        <w:spacing w:after="0"/>
        <w:rPr>
          <w:rFonts w:ascii="Arial" w:cs="Arial" w:eastAsia="Arial" w:hAnsi="Arial"/>
          <w:sz w:val="14"/>
          <w:szCs w:val="14"/>
          <w:color w:val="auto"/>
        </w:rPr>
      </w:pPr>
      <w:r>
        <w:rPr>
          <w:rFonts w:ascii="Arial" w:cs="Arial" w:eastAsia="Arial" w:hAnsi="Arial"/>
          <w:sz w:val="14"/>
          <w:szCs w:val="14"/>
          <w:color w:val="auto"/>
        </w:rPr>
        <w:t xml:space="preserve">10.9• </w:t>
      </w:r>
      <w:hyperlink w:anchor="page379">
        <w:r>
          <w:rPr>
            <w:rFonts w:ascii="Arial" w:cs="Arial" w:eastAsia="Arial" w:hAnsi="Arial"/>
            <w:sz w:val="14"/>
            <w:szCs w:val="14"/>
            <w:u w:val="single" w:color="auto"/>
            <w:color w:val="0000EE"/>
          </w:rPr>
          <w:t>2021 Employee Stock Purchase Plan</w:t>
        </w:r>
      </w:hyperlink>
    </w:p>
    <w:p>
      <w:pPr>
        <w:spacing w:after="0" w:line="42"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10.10•# </w:t>
      </w:r>
      <w:hyperlink r:id="rId541">
        <w:r>
          <w:rPr>
            <w:rFonts w:ascii="Arial" w:cs="Arial" w:eastAsia="Arial" w:hAnsi="Arial"/>
            <w:sz w:val="14"/>
            <w:szCs w:val="14"/>
            <w:u w:val="single" w:color="auto"/>
            <w:color w:val="0000EE"/>
          </w:rPr>
          <w:t>Form of Restricted Stock Award Agreement, under the 2018 Stock Option and Grant Plan</w:t>
        </w:r>
      </w:hyperlink>
    </w:p>
    <w:p>
      <w:pPr>
        <w:spacing w:after="0" w:line="42"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10.11•# </w:t>
      </w:r>
      <w:hyperlink r:id="rId542">
        <w:r>
          <w:rPr>
            <w:rFonts w:ascii="Arial" w:cs="Arial" w:eastAsia="Arial" w:hAnsi="Arial"/>
            <w:sz w:val="14"/>
            <w:szCs w:val="14"/>
            <w:u w:val="single" w:color="auto"/>
            <w:color w:val="0000EE"/>
          </w:rPr>
          <w:t>Form of Non-Qualified Stock Option Agreement, under the 2018 Stock Option and Grant Plan</w:t>
        </w:r>
      </w:hyperlink>
    </w:p>
    <w:p>
      <w:pPr>
        <w:spacing w:after="0" w:line="42"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10.12•# </w:t>
      </w:r>
      <w:hyperlink r:id="rId543">
        <w:r>
          <w:rPr>
            <w:rFonts w:ascii="Arial" w:cs="Arial" w:eastAsia="Arial" w:hAnsi="Arial"/>
            <w:sz w:val="14"/>
            <w:szCs w:val="14"/>
            <w:u w:val="single" w:color="auto"/>
            <w:color w:val="0000EE"/>
          </w:rPr>
          <w:t>Form of Incentive Stock Option Agreement, under the 2018 Stock Option and Grant Plan</w:t>
        </w:r>
      </w:hyperlink>
    </w:p>
    <w:p>
      <w:pPr>
        <w:spacing w:after="0" w:line="42"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10.13•# </w:t>
      </w:r>
      <w:hyperlink r:id="rId544">
        <w:r>
          <w:rPr>
            <w:rFonts w:ascii="Arial" w:cs="Arial" w:eastAsia="Arial" w:hAnsi="Arial"/>
            <w:sz w:val="14"/>
            <w:szCs w:val="14"/>
            <w:u w:val="single" w:color="auto"/>
            <w:color w:val="0000EE"/>
          </w:rPr>
          <w:t>Form of Stock Option Grant Notice and Award Agreement, under the 2021 Plan</w:t>
        </w:r>
      </w:hyperlink>
    </w:p>
    <w:p>
      <w:pPr>
        <w:spacing w:after="0" w:line="42"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10.14•# </w:t>
      </w:r>
      <w:hyperlink r:id="rId545">
        <w:r>
          <w:rPr>
            <w:rFonts w:ascii="Arial" w:cs="Arial" w:eastAsia="Arial" w:hAnsi="Arial"/>
            <w:sz w:val="14"/>
            <w:szCs w:val="14"/>
            <w:u w:val="single" w:color="auto"/>
            <w:color w:val="0000EE"/>
          </w:rPr>
          <w:t>Form of Restricted Stock Unit Grant Notice and Award Agreement, under the 2021 Plan</w:t>
        </w:r>
      </w:hyperlink>
    </w:p>
    <w:p>
      <w:pPr>
        <w:spacing w:after="0" w:line="10" w:lineRule="exact"/>
        <w:rPr>
          <w:sz w:val="20"/>
          <w:szCs w:val="20"/>
          <w:color w:val="auto"/>
        </w:rPr>
      </w:pPr>
    </w:p>
    <w:p>
      <w:pPr>
        <w:ind w:left="1800" w:right="69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10.15*# </w:t>
      </w:r>
      <w:hyperlink r:id="rId546">
        <w:r>
          <w:rPr>
            <w:rFonts w:ascii="Arial" w:cs="Arial" w:eastAsia="Arial" w:hAnsi="Arial"/>
            <w:sz w:val="14"/>
            <w:szCs w:val="14"/>
            <w:u w:val="single" w:color="auto"/>
            <w:color w:val="0000EE"/>
          </w:rPr>
          <w:t>Amended and Restated Option Agreement, by and between Century Therapeutics, Inc. and Bayer</w:t>
        </w:r>
      </w:hyperlink>
      <w:r>
        <w:rPr>
          <w:rFonts w:ascii="Arial" w:cs="Arial" w:eastAsia="Arial" w:hAnsi="Arial"/>
          <w:sz w:val="14"/>
          <w:szCs w:val="14"/>
          <w:color w:val="auto"/>
        </w:rPr>
        <w:t xml:space="preserve"> </w:t>
      </w:r>
      <w:hyperlink r:id="rId546">
        <w:r>
          <w:rPr>
            <w:rFonts w:ascii="Arial" w:cs="Arial" w:eastAsia="Arial" w:hAnsi="Arial"/>
            <w:sz w:val="14"/>
            <w:szCs w:val="14"/>
            <w:u w:val="single" w:color="auto"/>
            <w:color w:val="0000EE"/>
          </w:rPr>
          <w:t>HealthCare LLC, dated February 25, 2021</w:t>
        </w:r>
      </w:hyperlink>
    </w:p>
    <w:p>
      <w:pPr>
        <w:spacing w:after="0" w:line="2" w:lineRule="exact"/>
        <w:rPr>
          <w:sz w:val="20"/>
          <w:szCs w:val="20"/>
          <w:color w:val="auto"/>
        </w:rPr>
      </w:pPr>
    </w:p>
    <w:p>
      <w:pPr>
        <w:ind w:left="1800" w:right="55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10.16*# </w:t>
      </w:r>
      <w:hyperlink r:id="rId547">
        <w:r>
          <w:rPr>
            <w:rFonts w:ascii="Arial" w:cs="Arial" w:eastAsia="Arial" w:hAnsi="Arial"/>
            <w:sz w:val="14"/>
            <w:szCs w:val="14"/>
            <w:u w:val="single" w:color="auto"/>
            <w:color w:val="0000EE"/>
          </w:rPr>
          <w:t>Master Collaboration Agreement, by and between Century Therapeutics, Inc. and FUJIFILM Cellular</w:t>
        </w:r>
      </w:hyperlink>
      <w:r>
        <w:rPr>
          <w:rFonts w:ascii="Arial" w:cs="Arial" w:eastAsia="Arial" w:hAnsi="Arial"/>
          <w:sz w:val="14"/>
          <w:szCs w:val="14"/>
          <w:color w:val="auto"/>
        </w:rPr>
        <w:t xml:space="preserve"> </w:t>
      </w:r>
      <w:hyperlink r:id="rId547">
        <w:r>
          <w:rPr>
            <w:rFonts w:ascii="Arial" w:cs="Arial" w:eastAsia="Arial" w:hAnsi="Arial"/>
            <w:sz w:val="14"/>
            <w:szCs w:val="14"/>
            <w:u w:val="single" w:color="auto"/>
            <w:color w:val="0000EE"/>
          </w:rPr>
          <w:t>Dynamics, Inc., dated October 21, 2019</w:t>
        </w:r>
      </w:hyperlink>
    </w:p>
    <w:p>
      <w:pPr>
        <w:spacing w:after="0" w:line="2" w:lineRule="exact"/>
        <w:rPr>
          <w:sz w:val="20"/>
          <w:szCs w:val="20"/>
          <w:color w:val="auto"/>
        </w:rPr>
      </w:pPr>
    </w:p>
    <w:p>
      <w:pPr>
        <w:ind w:left="1800" w:right="399" w:hanging="45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10.17# </w:t>
      </w:r>
      <w:hyperlink r:id="rId548">
        <w:r>
          <w:rPr>
            <w:rFonts w:ascii="Arial" w:cs="Arial" w:eastAsia="Arial" w:hAnsi="Arial"/>
            <w:sz w:val="14"/>
            <w:szCs w:val="14"/>
            <w:u w:val="single" w:color="auto"/>
            <w:color w:val="0000EE"/>
          </w:rPr>
          <w:t>Amendment No. 1 to Master Collaboration Agreement, by and between Century Therapeutics, Inc. and</w:t>
        </w:r>
      </w:hyperlink>
      <w:r>
        <w:rPr>
          <w:rFonts w:ascii="Arial" w:cs="Arial" w:eastAsia="Arial" w:hAnsi="Arial"/>
          <w:sz w:val="14"/>
          <w:szCs w:val="14"/>
          <w:color w:val="auto"/>
        </w:rPr>
        <w:t xml:space="preserve"> </w:t>
      </w:r>
      <w:hyperlink r:id="rId548">
        <w:r>
          <w:rPr>
            <w:rFonts w:ascii="Arial" w:cs="Arial" w:eastAsia="Arial" w:hAnsi="Arial"/>
            <w:sz w:val="14"/>
            <w:szCs w:val="14"/>
            <w:u w:val="single" w:color="auto"/>
            <w:color w:val="0000EE"/>
          </w:rPr>
          <w:t>FUJIFILM Cellular Dynamics, Inc., dated July 17, 2020</w:t>
        </w:r>
      </w:hyperlink>
    </w:p>
    <w:p>
      <w:pPr>
        <w:spacing w:after="0" w:line="2" w:lineRule="exact"/>
        <w:rPr>
          <w:sz w:val="20"/>
          <w:szCs w:val="20"/>
          <w:color w:val="auto"/>
        </w:rPr>
      </w:pPr>
    </w:p>
    <w:p>
      <w:pPr>
        <w:ind w:left="1800" w:right="43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10.18*# </w:t>
      </w:r>
      <w:hyperlink r:id="rId549">
        <w:r>
          <w:rPr>
            <w:rFonts w:ascii="Arial" w:cs="Arial" w:eastAsia="Arial" w:hAnsi="Arial"/>
            <w:sz w:val="14"/>
            <w:szCs w:val="14"/>
            <w:u w:val="single" w:color="auto"/>
            <w:color w:val="0000EE"/>
          </w:rPr>
          <w:t>Amendment No. 2 to Master Collaboration Agreement by and between Century Therapeutics, Inc. and</w:t>
        </w:r>
      </w:hyperlink>
      <w:r>
        <w:rPr>
          <w:rFonts w:ascii="Arial" w:cs="Arial" w:eastAsia="Arial" w:hAnsi="Arial"/>
          <w:sz w:val="14"/>
          <w:szCs w:val="14"/>
          <w:color w:val="auto"/>
        </w:rPr>
        <w:t xml:space="preserve"> </w:t>
      </w:r>
      <w:hyperlink r:id="rId549">
        <w:r>
          <w:rPr>
            <w:rFonts w:ascii="Arial" w:cs="Arial" w:eastAsia="Arial" w:hAnsi="Arial"/>
            <w:sz w:val="14"/>
            <w:szCs w:val="14"/>
            <w:u w:val="single" w:color="auto"/>
            <w:color w:val="0000EE"/>
          </w:rPr>
          <w:t>FUJIFILM Cellular Dynamics, Inc., dated March 23, 2021</w:t>
        </w:r>
      </w:hyperlink>
    </w:p>
    <w:p>
      <w:pPr>
        <w:spacing w:after="0" w:line="2" w:lineRule="exact"/>
        <w:rPr>
          <w:sz w:val="20"/>
          <w:szCs w:val="20"/>
          <w:color w:val="auto"/>
        </w:rPr>
      </w:pPr>
    </w:p>
    <w:p>
      <w:pPr>
        <w:ind w:left="1800" w:right="439" w:hanging="45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10.19# </w:t>
      </w:r>
      <w:hyperlink r:id="rId550">
        <w:r>
          <w:rPr>
            <w:rFonts w:ascii="Arial" w:cs="Arial" w:eastAsia="Arial" w:hAnsi="Arial"/>
            <w:sz w:val="14"/>
            <w:szCs w:val="14"/>
            <w:u w:val="single" w:color="auto"/>
            <w:color w:val="0000EE"/>
          </w:rPr>
          <w:t>Amendment No. 3 to Master Collaboration Agreement by and between Century Therapeutics, Inc. and</w:t>
        </w:r>
      </w:hyperlink>
      <w:r>
        <w:rPr>
          <w:rFonts w:ascii="Arial" w:cs="Arial" w:eastAsia="Arial" w:hAnsi="Arial"/>
          <w:sz w:val="14"/>
          <w:szCs w:val="14"/>
          <w:color w:val="auto"/>
        </w:rPr>
        <w:t xml:space="preserve"> </w:t>
      </w:r>
      <w:hyperlink r:id="rId550">
        <w:r>
          <w:rPr>
            <w:rFonts w:ascii="Arial" w:cs="Arial" w:eastAsia="Arial" w:hAnsi="Arial"/>
            <w:sz w:val="14"/>
            <w:szCs w:val="14"/>
            <w:u w:val="single" w:color="auto"/>
            <w:color w:val="0000EE"/>
          </w:rPr>
          <w:t>FUJIFILM Cellular Dynamics, Inc., dated March 29, 2021</w:t>
        </w:r>
      </w:hyperlink>
    </w:p>
    <w:p>
      <w:pPr>
        <w:spacing w:after="0" w:line="2" w:lineRule="exact"/>
        <w:rPr>
          <w:sz w:val="20"/>
          <w:szCs w:val="20"/>
          <w:color w:val="auto"/>
        </w:rPr>
      </w:pPr>
    </w:p>
    <w:p>
      <w:pPr>
        <w:ind w:left="1800" w:right="599" w:hanging="45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10.20# </w:t>
      </w:r>
      <w:hyperlink r:id="rId551">
        <w:r>
          <w:rPr>
            <w:rFonts w:ascii="Arial" w:cs="Arial" w:eastAsia="Arial" w:hAnsi="Arial"/>
            <w:sz w:val="14"/>
            <w:szCs w:val="14"/>
            <w:u w:val="single" w:color="auto"/>
            <w:color w:val="0000EE"/>
          </w:rPr>
          <w:t>Letter Agreement, by and among Century Therapeutics, Inc., FUJIFILM Cellular Dynamics, Inc. and</w:t>
        </w:r>
      </w:hyperlink>
      <w:r>
        <w:rPr>
          <w:rFonts w:ascii="Arial" w:cs="Arial" w:eastAsia="Arial" w:hAnsi="Arial"/>
          <w:sz w:val="14"/>
          <w:szCs w:val="14"/>
          <w:color w:val="auto"/>
        </w:rPr>
        <w:t xml:space="preserve"> </w:t>
      </w:r>
      <w:hyperlink r:id="rId551">
        <w:r>
          <w:rPr>
            <w:rFonts w:ascii="Arial" w:cs="Arial" w:eastAsia="Arial" w:hAnsi="Arial"/>
            <w:sz w:val="14"/>
            <w:szCs w:val="14"/>
            <w:u w:val="single" w:color="auto"/>
            <w:color w:val="0000EE"/>
          </w:rPr>
          <w:t>Wisconsin Alumni Research Foundation, dated July 2, 2019</w:t>
        </w:r>
      </w:hyperlink>
    </w:p>
    <w:p>
      <w:pPr>
        <w:spacing w:after="0" w:line="34" w:lineRule="exact"/>
        <w:rPr>
          <w:sz w:val="20"/>
          <w:szCs w:val="20"/>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 xml:space="preserve">10.21*# </w:t>
      </w:r>
      <w:hyperlink r:id="rId552">
        <w:r>
          <w:rPr>
            <w:rFonts w:ascii="Arial" w:cs="Arial" w:eastAsia="Arial" w:hAnsi="Arial"/>
            <w:sz w:val="14"/>
            <w:szCs w:val="14"/>
            <w:u w:val="single" w:color="auto"/>
            <w:color w:val="0000EE"/>
          </w:rPr>
          <w:t>License Agreement (Differentiation), by and between Century Therapeutics, Inc. and FUJIFILM</w:t>
        </w:r>
      </w:hyperlink>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5" w:name="page276"/>
    <w:bookmarkEnd w:id="275"/>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16510</wp:posOffset>
            </wp:positionV>
            <wp:extent cx="469201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4692015" cy="698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880" w:space="720"/>
            <w:col w:w="4419"/>
          </w:cols>
          <w:pgMar w:left="1440" w:top="134" w:right="1440"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Cellular Dynamics, Inc., dated September 18, 2018</w:t>
      </w:r>
    </w:p>
    <w:p>
      <w:pPr>
        <w:spacing w:after="0" w:line="21" w:lineRule="exact"/>
        <w:rPr>
          <w:sz w:val="20"/>
          <w:szCs w:val="20"/>
          <w:color w:val="auto"/>
        </w:rPr>
      </w:pPr>
    </w:p>
    <w:p>
      <w:pPr>
        <w:ind w:left="1780" w:right="49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10.22*# </w:t>
      </w:r>
      <w:hyperlink r:id="rId555">
        <w:r>
          <w:rPr>
            <w:rFonts w:ascii="Arial" w:cs="Arial" w:eastAsia="Arial" w:hAnsi="Arial"/>
            <w:sz w:val="14"/>
            <w:szCs w:val="14"/>
            <w:u w:val="single" w:color="auto"/>
            <w:color w:val="0000EE"/>
          </w:rPr>
          <w:t>Amendment No. 1 to License Agreement (Differentiation), by and between Century Therapeutics, Inc.</w:t>
        </w:r>
      </w:hyperlink>
      <w:r>
        <w:rPr>
          <w:rFonts w:ascii="Arial" w:cs="Arial" w:eastAsia="Arial" w:hAnsi="Arial"/>
          <w:sz w:val="14"/>
          <w:szCs w:val="14"/>
          <w:color w:val="auto"/>
        </w:rPr>
        <w:t xml:space="preserve"> </w:t>
      </w:r>
      <w:hyperlink r:id="rId555">
        <w:r>
          <w:rPr>
            <w:rFonts w:ascii="Arial" w:cs="Arial" w:eastAsia="Arial" w:hAnsi="Arial"/>
            <w:sz w:val="14"/>
            <w:szCs w:val="14"/>
            <w:u w:val="single" w:color="auto"/>
            <w:color w:val="0000EE"/>
          </w:rPr>
          <w:t>and FUJIFILM Cellular Dynamics, Inc., dated March 23, 2021</w:t>
        </w:r>
      </w:hyperlink>
    </w:p>
    <w:p>
      <w:pPr>
        <w:spacing w:after="0" w:line="2" w:lineRule="exact"/>
        <w:rPr>
          <w:sz w:val="20"/>
          <w:szCs w:val="20"/>
          <w:color w:val="auto"/>
        </w:rPr>
      </w:pPr>
    </w:p>
    <w:p>
      <w:pPr>
        <w:ind w:left="1780" w:right="77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10.23*# </w:t>
      </w:r>
      <w:hyperlink r:id="rId556">
        <w:r>
          <w:rPr>
            <w:rFonts w:ascii="Arial" w:cs="Arial" w:eastAsia="Arial" w:hAnsi="Arial"/>
            <w:sz w:val="14"/>
            <w:szCs w:val="14"/>
            <w:u w:val="single" w:color="auto"/>
            <w:color w:val="0000EE"/>
          </w:rPr>
          <w:t>License Agreement (Reprogramming), by and between Century Therapeutics, Inc. and FUJIFILM</w:t>
        </w:r>
      </w:hyperlink>
      <w:r>
        <w:rPr>
          <w:rFonts w:ascii="Arial" w:cs="Arial" w:eastAsia="Arial" w:hAnsi="Arial"/>
          <w:sz w:val="14"/>
          <w:szCs w:val="14"/>
          <w:color w:val="auto"/>
        </w:rPr>
        <w:t xml:space="preserve"> </w:t>
      </w:r>
      <w:hyperlink r:id="rId556">
        <w:r>
          <w:rPr>
            <w:rFonts w:ascii="Arial" w:cs="Arial" w:eastAsia="Arial" w:hAnsi="Arial"/>
            <w:sz w:val="14"/>
            <w:szCs w:val="14"/>
            <w:u w:val="single" w:color="auto"/>
            <w:color w:val="0000EE"/>
          </w:rPr>
          <w:t>Cellular Dynamics, Inc., dated September 18, 2018</w:t>
        </w:r>
      </w:hyperlink>
    </w:p>
    <w:p>
      <w:pPr>
        <w:spacing w:after="0" w:line="2" w:lineRule="exact"/>
        <w:rPr>
          <w:sz w:val="20"/>
          <w:szCs w:val="20"/>
          <w:color w:val="auto"/>
        </w:rPr>
      </w:pPr>
    </w:p>
    <w:p>
      <w:pPr>
        <w:ind w:left="1780" w:right="65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10.24*# </w:t>
      </w:r>
      <w:hyperlink r:id="rId557">
        <w:r>
          <w:rPr>
            <w:rFonts w:ascii="Arial" w:cs="Arial" w:eastAsia="Arial" w:hAnsi="Arial"/>
            <w:sz w:val="14"/>
            <w:szCs w:val="14"/>
            <w:u w:val="single" w:color="auto"/>
            <w:color w:val="0000EE"/>
          </w:rPr>
          <w:t>Amendment No. 1 to License Agreement (Reprogramming), by and between Century Therapeutics,</w:t>
        </w:r>
      </w:hyperlink>
      <w:r>
        <w:rPr>
          <w:rFonts w:ascii="Arial" w:cs="Arial" w:eastAsia="Arial" w:hAnsi="Arial"/>
          <w:sz w:val="14"/>
          <w:szCs w:val="14"/>
          <w:color w:val="auto"/>
        </w:rPr>
        <w:t xml:space="preserve"> </w:t>
      </w:r>
      <w:hyperlink r:id="rId557">
        <w:r>
          <w:rPr>
            <w:rFonts w:ascii="Arial" w:cs="Arial" w:eastAsia="Arial" w:hAnsi="Arial"/>
            <w:sz w:val="14"/>
            <w:szCs w:val="14"/>
            <w:u w:val="single" w:color="auto"/>
            <w:color w:val="0000EE"/>
          </w:rPr>
          <w:t>Inc. and FUJIFILM Cellular Dynamics, Inc., dated March 23, 2021</w:t>
        </w:r>
      </w:hyperlink>
    </w:p>
    <w:p>
      <w:pPr>
        <w:spacing w:after="0" w:line="2" w:lineRule="exact"/>
        <w:rPr>
          <w:sz w:val="20"/>
          <w:szCs w:val="20"/>
          <w:color w:val="auto"/>
        </w:rPr>
      </w:pPr>
    </w:p>
    <w:p>
      <w:pPr>
        <w:ind w:left="1780" w:right="77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10.25*# </w:t>
      </w:r>
      <w:hyperlink r:id="rId558">
        <w:r>
          <w:rPr>
            <w:rFonts w:ascii="Arial" w:cs="Arial" w:eastAsia="Arial" w:hAnsi="Arial"/>
            <w:sz w:val="14"/>
            <w:szCs w:val="14"/>
            <w:u w:val="single" w:color="auto"/>
            <w:color w:val="0000EE"/>
          </w:rPr>
          <w:t>Manufacturing and Supply Agreement, by and between Century Therapeutics, Inc. and FUJIFILM</w:t>
        </w:r>
      </w:hyperlink>
      <w:r>
        <w:rPr>
          <w:rFonts w:ascii="Arial" w:cs="Arial" w:eastAsia="Arial" w:hAnsi="Arial"/>
          <w:sz w:val="14"/>
          <w:szCs w:val="14"/>
          <w:color w:val="auto"/>
        </w:rPr>
        <w:t xml:space="preserve"> </w:t>
      </w:r>
      <w:hyperlink r:id="rId558">
        <w:r>
          <w:rPr>
            <w:rFonts w:ascii="Arial" w:cs="Arial" w:eastAsia="Arial" w:hAnsi="Arial"/>
            <w:sz w:val="14"/>
            <w:szCs w:val="14"/>
            <w:u w:val="single" w:color="auto"/>
            <w:color w:val="0000EE"/>
          </w:rPr>
          <w:t>Cellular Dynamics, Inc., dated March 23, 2021</w:t>
        </w:r>
      </w:hyperlink>
    </w:p>
    <w:p>
      <w:pPr>
        <w:spacing w:after="0" w:line="2" w:lineRule="exact"/>
        <w:rPr>
          <w:sz w:val="20"/>
          <w:szCs w:val="20"/>
          <w:color w:val="auto"/>
        </w:rPr>
      </w:pPr>
    </w:p>
    <w:p>
      <w:pPr>
        <w:ind w:left="1780" w:right="47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10.26*# </w:t>
      </w:r>
      <w:hyperlink r:id="rId559">
        <w:r>
          <w:rPr>
            <w:rFonts w:ascii="Arial" w:cs="Arial" w:eastAsia="Arial" w:hAnsi="Arial"/>
            <w:sz w:val="14"/>
            <w:szCs w:val="14"/>
            <w:u w:val="single" w:color="auto"/>
            <w:color w:val="0000EE"/>
          </w:rPr>
          <w:t>Loan and Security Agreement, by and between Century Therapeutics, Inc. and Hercules Capital, Inc.,</w:t>
        </w:r>
      </w:hyperlink>
      <w:r>
        <w:rPr>
          <w:rFonts w:ascii="Arial" w:cs="Arial" w:eastAsia="Arial" w:hAnsi="Arial"/>
          <w:sz w:val="14"/>
          <w:szCs w:val="14"/>
          <w:color w:val="auto"/>
        </w:rPr>
        <w:t xml:space="preserve"> </w:t>
      </w:r>
      <w:hyperlink r:id="rId559">
        <w:r>
          <w:rPr>
            <w:rFonts w:ascii="Arial" w:cs="Arial" w:eastAsia="Arial" w:hAnsi="Arial"/>
            <w:sz w:val="14"/>
            <w:szCs w:val="14"/>
            <w:u w:val="single" w:color="auto"/>
            <w:color w:val="0000EE"/>
          </w:rPr>
          <w:t>dated September 14, 2020</w:t>
        </w:r>
      </w:hyperlink>
    </w:p>
    <w:p>
      <w:pPr>
        <w:spacing w:after="0" w:line="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10.27*# </w:t>
      </w:r>
      <w:hyperlink r:id="rId560">
        <w:r>
          <w:rPr>
            <w:rFonts w:ascii="Arial" w:cs="Arial" w:eastAsia="Arial" w:hAnsi="Arial"/>
            <w:sz w:val="14"/>
            <w:szCs w:val="14"/>
            <w:u w:val="single" w:color="auto"/>
            <w:color w:val="0000EE"/>
          </w:rPr>
          <w:t>Sublicense Agreement, by and between iCELL Inc. and Century Therapeutics, Inc., dated March 20,</w:t>
        </w:r>
      </w:hyperlink>
    </w:p>
    <w:p>
      <w:pPr>
        <w:spacing w:after="0" w:line="10" w:lineRule="exact"/>
        <w:rPr>
          <w:sz w:val="20"/>
          <w:szCs w:val="20"/>
          <w:color w:val="auto"/>
        </w:rPr>
      </w:pPr>
    </w:p>
    <w:p>
      <w:pPr>
        <w:ind w:left="1780"/>
        <w:spacing w:after="0"/>
        <w:rPr>
          <w:rFonts w:ascii="Arial" w:cs="Arial" w:eastAsia="Arial" w:hAnsi="Arial"/>
          <w:sz w:val="14"/>
          <w:szCs w:val="14"/>
          <w:u w:val="single" w:color="auto"/>
          <w:color w:val="0000EE"/>
        </w:rPr>
      </w:pPr>
      <w:hyperlink r:id="rId560">
        <w:r>
          <w:rPr>
            <w:rFonts w:ascii="Arial" w:cs="Arial" w:eastAsia="Arial" w:hAnsi="Arial"/>
            <w:sz w:val="14"/>
            <w:szCs w:val="14"/>
            <w:u w:val="single" w:color="auto"/>
            <w:color w:val="0000EE"/>
          </w:rPr>
          <w:t>2020</w:t>
        </w:r>
      </w:hyperlink>
    </w:p>
    <w:p>
      <w:pPr>
        <w:spacing w:after="0" w:line="32" w:lineRule="exact"/>
        <w:rPr>
          <w:sz w:val="20"/>
          <w:szCs w:val="20"/>
          <w:color w:val="auto"/>
        </w:rPr>
      </w:pPr>
    </w:p>
    <w:p>
      <w:pPr>
        <w:ind w:left="1780" w:right="539" w:hanging="512"/>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10.28*# </w:t>
      </w:r>
      <w:hyperlink r:id="rId561">
        <w:r>
          <w:rPr>
            <w:rFonts w:ascii="Arial" w:cs="Arial" w:eastAsia="Arial" w:hAnsi="Arial"/>
            <w:sz w:val="14"/>
            <w:szCs w:val="14"/>
            <w:u w:val="single" w:color="auto"/>
            <w:color w:val="0000EE"/>
          </w:rPr>
          <w:t>License Agreement, by and among the Governing Council of the University of Toronto, the McMaster</w:t>
        </w:r>
      </w:hyperlink>
      <w:r>
        <w:rPr>
          <w:rFonts w:ascii="Arial" w:cs="Arial" w:eastAsia="Arial" w:hAnsi="Arial"/>
          <w:sz w:val="14"/>
          <w:szCs w:val="14"/>
          <w:color w:val="auto"/>
        </w:rPr>
        <w:t xml:space="preserve"> </w:t>
      </w:r>
      <w:hyperlink r:id="rId561">
        <w:r>
          <w:rPr>
            <w:rFonts w:ascii="Arial" w:cs="Arial" w:eastAsia="Arial" w:hAnsi="Arial"/>
            <w:sz w:val="14"/>
            <w:szCs w:val="14"/>
            <w:u w:val="single" w:color="auto"/>
            <w:color w:val="0000EE"/>
          </w:rPr>
          <w:t>University and Empirica Therapeutics, dated January 22, 2019</w:t>
        </w:r>
      </w:hyperlink>
    </w:p>
    <w:p>
      <w:pPr>
        <w:spacing w:after="0" w:line="2" w:lineRule="exact"/>
        <w:rPr>
          <w:sz w:val="20"/>
          <w:szCs w:val="20"/>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 xml:space="preserve">10.29# </w:t>
      </w:r>
      <w:hyperlink r:id="rId562">
        <w:r>
          <w:rPr>
            <w:rFonts w:ascii="Arial" w:cs="Arial" w:eastAsia="Arial" w:hAnsi="Arial"/>
            <w:sz w:val="14"/>
            <w:szCs w:val="14"/>
            <w:u w:val="single" w:color="auto"/>
            <w:color w:val="0000EE"/>
          </w:rPr>
          <w:t>License Agreement, by and between Inscripta, Inc. and Century Therapeutics, Inc., dated January 1,</w:t>
        </w:r>
      </w:hyperlink>
    </w:p>
    <w:p>
      <w:pPr>
        <w:spacing w:after="0" w:line="10" w:lineRule="exact"/>
        <w:rPr>
          <w:sz w:val="20"/>
          <w:szCs w:val="20"/>
          <w:color w:val="auto"/>
        </w:rPr>
      </w:pPr>
    </w:p>
    <w:p>
      <w:pPr>
        <w:ind w:left="1780"/>
        <w:spacing w:after="0"/>
        <w:rPr>
          <w:rFonts w:ascii="Arial" w:cs="Arial" w:eastAsia="Arial" w:hAnsi="Arial"/>
          <w:sz w:val="14"/>
          <w:szCs w:val="14"/>
          <w:u w:val="single" w:color="auto"/>
          <w:color w:val="0000EE"/>
        </w:rPr>
      </w:pPr>
      <w:hyperlink r:id="rId562">
        <w:r>
          <w:rPr>
            <w:rFonts w:ascii="Arial" w:cs="Arial" w:eastAsia="Arial" w:hAnsi="Arial"/>
            <w:sz w:val="14"/>
            <w:szCs w:val="14"/>
            <w:u w:val="single" w:color="auto"/>
            <w:color w:val="0000EE"/>
          </w:rPr>
          <w:t>2019</w:t>
        </w:r>
      </w:hyperlink>
    </w:p>
    <w:p>
      <w:pPr>
        <w:spacing w:after="0" w:line="32" w:lineRule="exact"/>
        <w:rPr>
          <w:sz w:val="20"/>
          <w:szCs w:val="20"/>
          <w:color w:val="auto"/>
        </w:rPr>
      </w:pPr>
    </w:p>
    <w:p>
      <w:pPr>
        <w:ind w:left="1780" w:right="53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10.30•# </w:t>
      </w:r>
      <w:hyperlink r:id="rId563">
        <w:r>
          <w:rPr>
            <w:rFonts w:ascii="Arial" w:cs="Arial" w:eastAsia="Arial" w:hAnsi="Arial"/>
            <w:sz w:val="14"/>
            <w:szCs w:val="14"/>
            <w:u w:val="single" w:color="auto"/>
            <w:color w:val="0000EE"/>
          </w:rPr>
          <w:t>Executive Employment Agreement, by and between the Registrant and Osvaldo Flores, Ph.D., dated</w:t>
        </w:r>
      </w:hyperlink>
      <w:r>
        <w:rPr>
          <w:rFonts w:ascii="Arial" w:cs="Arial" w:eastAsia="Arial" w:hAnsi="Arial"/>
          <w:sz w:val="14"/>
          <w:szCs w:val="14"/>
          <w:color w:val="auto"/>
        </w:rPr>
        <w:t xml:space="preserve"> </w:t>
      </w:r>
      <w:hyperlink r:id="rId563">
        <w:r>
          <w:rPr>
            <w:rFonts w:ascii="Arial" w:cs="Arial" w:eastAsia="Arial" w:hAnsi="Arial"/>
            <w:sz w:val="14"/>
            <w:szCs w:val="14"/>
            <w:u w:val="single" w:color="auto"/>
            <w:color w:val="0000EE"/>
          </w:rPr>
          <w:t>May 26, 2021</w:t>
        </w:r>
      </w:hyperlink>
    </w:p>
    <w:p>
      <w:pPr>
        <w:spacing w:after="0" w:line="2" w:lineRule="exact"/>
        <w:rPr>
          <w:sz w:val="20"/>
          <w:szCs w:val="20"/>
          <w:color w:val="auto"/>
        </w:rPr>
      </w:pPr>
    </w:p>
    <w:p>
      <w:pPr>
        <w:ind w:left="1780" w:right="71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10.31•# </w:t>
      </w:r>
      <w:hyperlink r:id="rId564">
        <w:r>
          <w:rPr>
            <w:rFonts w:ascii="Arial" w:cs="Arial" w:eastAsia="Arial" w:hAnsi="Arial"/>
            <w:sz w:val="14"/>
            <w:szCs w:val="14"/>
            <w:u w:val="single" w:color="auto"/>
            <w:color w:val="0000EE"/>
          </w:rPr>
          <w:t>Executive Employment Agreement, by and between the Registrant and Michael Diem, M.D., dated</w:t>
        </w:r>
      </w:hyperlink>
      <w:r>
        <w:rPr>
          <w:rFonts w:ascii="Arial" w:cs="Arial" w:eastAsia="Arial" w:hAnsi="Arial"/>
          <w:sz w:val="14"/>
          <w:szCs w:val="14"/>
          <w:color w:val="auto"/>
        </w:rPr>
        <w:t xml:space="preserve"> </w:t>
      </w:r>
      <w:hyperlink r:id="rId564">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780" w:right="659" w:hanging="50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10.32•# </w:t>
      </w:r>
      <w:hyperlink r:id="rId565">
        <w:r>
          <w:rPr>
            <w:rFonts w:ascii="Arial" w:cs="Arial" w:eastAsia="Arial" w:hAnsi="Arial"/>
            <w:sz w:val="14"/>
            <w:szCs w:val="14"/>
            <w:u w:val="single" w:color="auto"/>
            <w:color w:val="0000EE"/>
          </w:rPr>
          <w:t>Executive Employment Agreement, by and between the Registrant and Hyam Levitsky, M.D., dated</w:t>
        </w:r>
      </w:hyperlink>
      <w:r>
        <w:rPr>
          <w:rFonts w:ascii="Arial" w:cs="Arial" w:eastAsia="Arial" w:hAnsi="Arial"/>
          <w:sz w:val="14"/>
          <w:szCs w:val="14"/>
          <w:color w:val="auto"/>
        </w:rPr>
        <w:t xml:space="preserve"> </w:t>
      </w:r>
      <w:hyperlink r:id="rId565">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780" w:right="759" w:hanging="42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10.33• </w:t>
      </w:r>
      <w:hyperlink w:anchor="page388">
        <w:r>
          <w:rPr>
            <w:rFonts w:ascii="Arial" w:cs="Arial" w:eastAsia="Arial" w:hAnsi="Arial"/>
            <w:sz w:val="14"/>
            <w:szCs w:val="14"/>
            <w:u w:val="single" w:color="auto"/>
            <w:color w:val="0000EE"/>
          </w:rPr>
          <w:t>Executive Employment Agreement, by and between the Registrant and Luis Borges, Ph.D., dated</w:t>
        </w:r>
      </w:hyperlink>
      <w:r>
        <w:rPr>
          <w:rFonts w:ascii="Arial" w:cs="Arial" w:eastAsia="Arial" w:hAnsi="Arial"/>
          <w:sz w:val="14"/>
          <w:szCs w:val="14"/>
          <w:color w:val="auto"/>
        </w:rPr>
        <w:t xml:space="preserve"> </w:t>
      </w:r>
      <w:hyperlink w:anchor="page388">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780" w:right="579" w:hanging="427"/>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10.34• </w:t>
      </w:r>
      <w:hyperlink w:anchor="page398">
        <w:r>
          <w:rPr>
            <w:rFonts w:ascii="Arial" w:cs="Arial" w:eastAsia="Arial" w:hAnsi="Arial"/>
            <w:sz w:val="14"/>
            <w:szCs w:val="14"/>
            <w:u w:val="single" w:color="auto"/>
            <w:color w:val="0000EE"/>
          </w:rPr>
          <w:t>Executive Employment Agreement, by and between the Registrant and Adrienne Farid, Ph.D., dated</w:t>
        </w:r>
      </w:hyperlink>
      <w:r>
        <w:rPr>
          <w:rFonts w:ascii="Arial" w:cs="Arial" w:eastAsia="Arial" w:hAnsi="Arial"/>
          <w:sz w:val="14"/>
          <w:szCs w:val="14"/>
          <w:color w:val="auto"/>
        </w:rPr>
        <w:t xml:space="preserve"> </w:t>
      </w:r>
      <w:hyperlink w:anchor="page398">
        <w:r>
          <w:rPr>
            <w:rFonts w:ascii="Arial" w:cs="Arial" w:eastAsia="Arial" w:hAnsi="Arial"/>
            <w:sz w:val="14"/>
            <w:szCs w:val="14"/>
            <w:u w:val="single" w:color="auto"/>
            <w:color w:val="0000EE"/>
          </w:rPr>
          <w:t>May 26, 2021</w:t>
        </w:r>
      </w:hyperlink>
    </w:p>
    <w:p>
      <w:pPr>
        <w:spacing w:after="0" w:line="13" w:lineRule="exact"/>
        <w:rPr>
          <w:sz w:val="20"/>
          <w:szCs w:val="20"/>
          <w:color w:val="auto"/>
        </w:rPr>
      </w:pPr>
    </w:p>
    <w:p>
      <w:pPr>
        <w:ind w:left="1780" w:right="439" w:hanging="449"/>
        <w:spacing w:after="0" w:line="270"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10.35• </w:t>
      </w:r>
      <w:hyperlink w:anchor="page408">
        <w:r>
          <w:rPr>
            <w:rFonts w:ascii="Arial" w:cs="Arial" w:eastAsia="Arial" w:hAnsi="Arial"/>
            <w:sz w:val="14"/>
            <w:szCs w:val="14"/>
            <w:u w:val="single" w:color="auto"/>
            <w:color w:val="0000EE"/>
          </w:rPr>
          <w:t>Executive Employment Agreement, by and between the Registrant and Gregory Russotti, Ph.D., dated</w:t>
        </w:r>
      </w:hyperlink>
      <w:r>
        <w:rPr>
          <w:rFonts w:ascii="Arial" w:cs="Arial" w:eastAsia="Arial" w:hAnsi="Arial"/>
          <w:sz w:val="14"/>
          <w:szCs w:val="14"/>
          <w:color w:val="auto"/>
        </w:rPr>
        <w:t xml:space="preserve"> </w:t>
      </w:r>
      <w:hyperlink w:anchor="page408">
        <w:r>
          <w:rPr>
            <w:rFonts w:ascii="Arial" w:cs="Arial" w:eastAsia="Arial" w:hAnsi="Arial"/>
            <w:sz w:val="14"/>
            <w:szCs w:val="14"/>
            <w:u w:val="single" w:color="auto"/>
            <w:color w:val="0000EE"/>
          </w:rPr>
          <w:t>May 26, 2021</w:t>
        </w:r>
      </w:hyperlink>
    </w:p>
    <w:p>
      <w:pPr>
        <w:spacing w:after="0" w:line="23"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10.36•# </w:t>
      </w:r>
      <w:hyperlink r:id="rId566">
        <w:r>
          <w:rPr>
            <w:rFonts w:ascii="Arial" w:cs="Arial" w:eastAsia="Arial" w:hAnsi="Arial"/>
            <w:sz w:val="14"/>
            <w:szCs w:val="14"/>
            <w:u w:val="single" w:color="auto"/>
            <w:color w:val="0000EE"/>
          </w:rPr>
          <w:t>Offer Letter, by and between the Registrant and Joseph Jimenez, dated February 16,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10.37•# </w:t>
      </w:r>
      <w:hyperlink r:id="rId567">
        <w:r>
          <w:rPr>
            <w:rFonts w:ascii="Arial" w:cs="Arial" w:eastAsia="Arial" w:hAnsi="Arial"/>
            <w:sz w:val="14"/>
            <w:szCs w:val="14"/>
            <w:u w:val="single" w:color="auto"/>
            <w:color w:val="0000EE"/>
          </w:rPr>
          <w:t>Offer Letter, by and between the Registrant and Cynthia Butitta, dated February 25,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10.38•# </w:t>
      </w:r>
      <w:hyperlink r:id="rId568">
        <w:r>
          <w:rPr>
            <w:rFonts w:ascii="Arial" w:cs="Arial" w:eastAsia="Arial" w:hAnsi="Arial"/>
            <w:sz w:val="14"/>
            <w:szCs w:val="14"/>
            <w:u w:val="single" w:color="auto"/>
            <w:color w:val="0000EE"/>
          </w:rPr>
          <w:t>Offer Letter, by and between the Registrant and Kimberly Blackwell, M.D., dated May 19, 2021</w:t>
        </w:r>
      </w:hyperlink>
    </w:p>
    <w:p>
      <w:pPr>
        <w:spacing w:after="0" w:line="42"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10.39•# </w:t>
      </w:r>
      <w:hyperlink r:id="rId569">
        <w:r>
          <w:rPr>
            <w:rFonts w:ascii="Arial" w:cs="Arial" w:eastAsia="Arial" w:hAnsi="Arial"/>
            <w:sz w:val="14"/>
            <w:szCs w:val="14"/>
            <w:u w:val="single" w:color="auto"/>
            <w:color w:val="0000EE"/>
          </w:rPr>
          <w:t>Offer Letter, by and between the Registrant and Alessandro Riva, M.D., dated May 19, 2021</w:t>
        </w:r>
      </w:hyperlink>
    </w:p>
    <w:p>
      <w:pPr>
        <w:spacing w:after="0" w:line="42" w:lineRule="exact"/>
        <w:rPr>
          <w:sz w:val="20"/>
          <w:szCs w:val="20"/>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 xml:space="preserve">21.1# </w:t>
      </w:r>
      <w:hyperlink r:id="rId570">
        <w:r>
          <w:rPr>
            <w:rFonts w:ascii="Arial" w:cs="Arial" w:eastAsia="Arial" w:hAnsi="Arial"/>
            <w:sz w:val="14"/>
            <w:szCs w:val="14"/>
            <w:u w:val="single" w:color="auto"/>
            <w:color w:val="0000EE"/>
          </w:rPr>
          <w:t>Subsidiaries of the Registrant</w:t>
        </w:r>
      </w:hyperlink>
    </w:p>
    <w:p>
      <w:pPr>
        <w:spacing w:after="0" w:line="42"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23.1 </w:t>
      </w:r>
      <w:hyperlink w:anchor="page418">
        <w:r>
          <w:rPr>
            <w:rFonts w:ascii="Arial" w:cs="Arial" w:eastAsia="Arial" w:hAnsi="Arial"/>
            <w:sz w:val="14"/>
            <w:szCs w:val="14"/>
            <w:u w:val="single" w:color="auto"/>
            <w:color w:val="0000EE"/>
          </w:rPr>
          <w:t>Consent of Ernst &amp; Young LLP, an Independent Registered Public Accounting Firm</w:t>
        </w:r>
      </w:hyperlink>
    </w:p>
    <w:p>
      <w:pPr>
        <w:spacing w:after="0" w:line="42"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23.2 </w:t>
      </w:r>
      <w:hyperlink w:anchor="page362">
        <w:r>
          <w:rPr>
            <w:rFonts w:ascii="Arial" w:cs="Arial" w:eastAsia="Arial" w:hAnsi="Arial"/>
            <w:sz w:val="14"/>
            <w:szCs w:val="14"/>
            <w:u w:val="single" w:color="auto"/>
            <w:color w:val="0000EE"/>
          </w:rPr>
          <w:t>Consent of Troutman Pepper Hamilton Sanders LLP (included in Exhibit 5.1)</w:t>
        </w:r>
      </w:hyperlink>
    </w:p>
    <w:p>
      <w:pPr>
        <w:spacing w:after="0" w:line="42" w:lineRule="exact"/>
        <w:rPr>
          <w:sz w:val="20"/>
          <w:szCs w:val="20"/>
          <w:color w:val="auto"/>
        </w:rPr>
      </w:pPr>
    </w:p>
    <w:p>
      <w:pPr>
        <w:ind w:left="1480"/>
        <w:spacing w:after="0"/>
        <w:rPr>
          <w:rFonts w:ascii="Arial" w:cs="Arial" w:eastAsia="Arial" w:hAnsi="Arial"/>
          <w:sz w:val="14"/>
          <w:szCs w:val="14"/>
          <w:color w:val="auto"/>
        </w:rPr>
      </w:pPr>
      <w:r>
        <w:rPr>
          <w:rFonts w:ascii="Arial" w:cs="Arial" w:eastAsia="Arial" w:hAnsi="Arial"/>
          <w:sz w:val="14"/>
          <w:szCs w:val="14"/>
          <w:color w:val="auto"/>
        </w:rPr>
        <w:t xml:space="preserve">24.1 </w:t>
      </w:r>
      <w:hyperlink w:anchor="page278">
        <w:r>
          <w:rPr>
            <w:rFonts w:ascii="Arial" w:cs="Arial" w:eastAsia="Arial" w:hAnsi="Arial"/>
            <w:sz w:val="14"/>
            <w:szCs w:val="14"/>
            <w:u w:val="single" w:color="auto"/>
            <w:color w:val="0000EE"/>
          </w:rPr>
          <w:t>Power of Attorney (included on the signature page to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115570</wp:posOffset>
            </wp:positionV>
            <wp:extent cx="97917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1">
                      <a:extLst>
                        <a:ext uri="{28A0092B-C50C-407E-A947-70E740481C1C}"/>
                      </a:extLst>
                    </a:blip>
                    <a:srcRect/>
                    <a:stretch>
                      <a:fillRect/>
                    </a:stretch>
                  </pic:blipFill>
                  <pic:spPr bwMode="auto">
                    <a:xfrm>
                      <a:off x="0" y="0"/>
                      <a:ext cx="979170" cy="6985"/>
                    </a:xfrm>
                    <a:prstGeom prst="rect">
                      <a:avLst/>
                    </a:prstGeom>
                    <a:noFill/>
                  </pic:spPr>
                </pic:pic>
              </a:graphicData>
            </a:graphic>
          </wp:anchor>
        </w:drawing>
      </w:r>
    </w:p>
    <w:p>
      <w:pPr>
        <w:spacing w:after="0" w:line="280" w:lineRule="exact"/>
        <w:rPr>
          <w:sz w:val="20"/>
          <w:szCs w:val="20"/>
          <w:color w:val="auto"/>
        </w:rPr>
      </w:pPr>
    </w:p>
    <w:p>
      <w:pPr>
        <w:ind w:left="1500" w:hanging="251"/>
        <w:spacing w:after="0"/>
        <w:tabs>
          <w:tab w:leader="none" w:pos="1500" w:val="left"/>
        </w:tabs>
        <w:numPr>
          <w:ilvl w:val="0"/>
          <w:numId w:val="129"/>
        </w:numPr>
        <w:rPr>
          <w:rFonts w:ascii="Arial" w:cs="Arial" w:eastAsia="Arial" w:hAnsi="Arial"/>
          <w:sz w:val="11"/>
          <w:szCs w:val="11"/>
          <w:color w:val="auto"/>
        </w:rPr>
      </w:pPr>
      <w:r>
        <w:rPr>
          <w:rFonts w:ascii="Arial" w:cs="Arial" w:eastAsia="Arial" w:hAnsi="Arial"/>
          <w:sz w:val="11"/>
          <w:szCs w:val="11"/>
          <w:color w:val="auto"/>
        </w:rPr>
        <w:t>Previously filed.</w:t>
      </w:r>
    </w:p>
    <w:p>
      <w:pPr>
        <w:spacing w:after="0" w:line="77" w:lineRule="exact"/>
        <w:rPr>
          <w:sz w:val="20"/>
          <w:szCs w:val="20"/>
          <w:color w:val="auto"/>
        </w:rPr>
      </w:pPr>
    </w:p>
    <w:p>
      <w:pPr>
        <w:ind w:left="1500" w:hanging="251"/>
        <w:spacing w:after="0"/>
        <w:tabs>
          <w:tab w:leader="none" w:pos="150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77" w:lineRule="exact"/>
        <w:rPr>
          <w:sz w:val="20"/>
          <w:szCs w:val="20"/>
          <w:color w:val="auto"/>
        </w:rPr>
      </w:pPr>
    </w:p>
    <w:p>
      <w:pPr>
        <w:ind w:left="1500" w:right="1639" w:hanging="251"/>
        <w:spacing w:after="0" w:line="248" w:lineRule="auto"/>
        <w:tabs>
          <w:tab w:leader="none" w:pos="150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Certain identified information in the exhibit has been omitted because it is the type of information that (i) the Company customarily and actually treats as private and confidential, and (ii) is not material.</w:t>
      </w:r>
    </w:p>
    <w:p>
      <w:pPr>
        <w:spacing w:after="0" w:line="140" w:lineRule="exact"/>
        <w:rPr>
          <w:sz w:val="20"/>
          <w:szCs w:val="20"/>
          <w:color w:val="auto"/>
        </w:rPr>
      </w:pPr>
    </w:p>
    <w:p>
      <w:pPr>
        <w:ind w:left="1620" w:hanging="371"/>
        <w:spacing w:after="0"/>
        <w:tabs>
          <w:tab w:leader="none" w:pos="162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statement schedules.</w:t>
      </w:r>
    </w:p>
    <w:p>
      <w:pPr>
        <w:spacing w:after="0" w:line="144" w:lineRule="exact"/>
        <w:rPr>
          <w:sz w:val="20"/>
          <w:szCs w:val="20"/>
          <w:color w:val="auto"/>
        </w:rPr>
      </w:pPr>
    </w:p>
    <w:p>
      <w:pPr>
        <w:ind w:left="1240" w:right="1479"/>
        <w:spacing w:after="0" w:line="286" w:lineRule="auto"/>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consolidated financial statements or notes thereto.</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6" w:name="page277"/>
    <w:bookmarkEnd w:id="276"/>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Item 17. Undertakings.</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7" w:name="page278"/>
    <w:bookmarkEnd w:id="277"/>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undersigned Registrant hereby undertakes that:</w:t>
      </w:r>
    </w:p>
    <w:p>
      <w:pPr>
        <w:spacing w:after="0" w:line="128" w:lineRule="exact"/>
        <w:rPr>
          <w:sz w:val="20"/>
          <w:szCs w:val="20"/>
          <w:color w:val="auto"/>
        </w:rPr>
      </w:pPr>
    </w:p>
    <w:p>
      <w:pPr>
        <w:ind w:left="1500" w:right="1559" w:hanging="251"/>
        <w:spacing w:after="0" w:line="275" w:lineRule="auto"/>
        <w:tabs>
          <w:tab w:leader="none" w:pos="15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4"/>
          <w:szCs w:val="14"/>
          <w:color w:val="auto"/>
        </w:rPr>
      </w:pPr>
    </w:p>
    <w:p>
      <w:pPr>
        <w:ind w:left="1500" w:right="1399" w:hanging="251"/>
        <w:spacing w:after="0" w:line="276" w:lineRule="auto"/>
        <w:tabs>
          <w:tab w:leader="none" w:pos="15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8" w:name="page279"/>
    <w:bookmarkEnd w:id="278"/>
    <w:p>
      <w:pPr>
        <w:ind w:left="260"/>
        <w:spacing w:after="0"/>
        <w:rPr>
          <w:rFonts w:ascii="Arial" w:cs="Arial" w:eastAsia="Arial" w:hAnsi="Arial"/>
          <w:sz w:val="11"/>
          <w:szCs w:val="11"/>
          <w:color w:val="003366"/>
        </w:rPr>
      </w:pPr>
      <w:hyperlink w:anchor="page24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Signatures</w:t>
      </w:r>
    </w:p>
    <w:p>
      <w:pPr>
        <w:spacing w:after="0" w:line="130" w:lineRule="exact"/>
        <w:rPr>
          <w:sz w:val="20"/>
          <w:szCs w:val="20"/>
          <w:color w:val="auto"/>
        </w:rPr>
      </w:pPr>
    </w:p>
    <w:p>
      <w:pPr>
        <w:jc w:val="both"/>
        <w:ind w:left="1240" w:right="1419"/>
        <w:spacing w:after="0" w:line="276"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the City of Philadelphia, Commonwealth of Pennsylvania on June 14, 2021.</w:t>
      </w:r>
    </w:p>
    <w:p>
      <w:pPr>
        <w:spacing w:after="0" w:line="87"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CENTURY THERAPEUTICS, INC.</w:t>
      </w:r>
    </w:p>
    <w:p>
      <w:pPr>
        <w:spacing w:after="0" w:line="210"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41275</wp:posOffset>
            </wp:positionV>
            <wp:extent cx="201295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5">
                      <a:extLst>
                        <a:ext uri="{28A0092B-C50C-407E-A947-70E740481C1C}"/>
                      </a:extLst>
                    </a:blip>
                    <a:srcRect/>
                    <a:stretch>
                      <a:fillRect/>
                    </a:stretch>
                  </pic:blipFill>
                  <pic:spPr bwMode="auto">
                    <a:xfrm>
                      <a:off x="0" y="0"/>
                      <a:ext cx="2012950" cy="6985"/>
                    </a:xfrm>
                    <a:prstGeom prst="rect">
                      <a:avLst/>
                    </a:prstGeom>
                    <a:noFill/>
                  </pic:spPr>
                </pic:pic>
              </a:graphicData>
            </a:graphic>
          </wp:anchor>
        </w:drawing>
      </w:r>
    </w:p>
    <w:p>
      <w:pPr>
        <w:spacing w:after="0" w:line="1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Osvaldo Flores, Ph.D.</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50" w:lineRule="exact"/>
        <w:rPr>
          <w:sz w:val="20"/>
          <w:szCs w:val="20"/>
          <w:color w:val="auto"/>
        </w:rPr>
      </w:pPr>
    </w:p>
    <w:p>
      <w:pPr>
        <w:ind w:left="1240" w:right="1539"/>
        <w:spacing w:after="0" w:line="291"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194310</wp:posOffset>
            </wp:positionV>
            <wp:extent cx="4134485" cy="133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Signature</w:t>
            </w:r>
          </w:p>
        </w:tc>
        <w:tc>
          <w:tcPr>
            <w:tcW w:w="3620" w:type="dxa"/>
            <w:vAlign w:val="bottom"/>
            <w:tcBorders>
              <w:bottom w:val="single" w:sz="8" w:color="auto"/>
            </w:tcBorders>
          </w:tcPr>
          <w:p>
            <w:pPr>
              <w:jc w:val="center"/>
              <w:ind w:left="89"/>
              <w:spacing w:after="0"/>
              <w:rPr>
                <w:sz w:val="20"/>
                <w:szCs w:val="20"/>
                <w:color w:val="auto"/>
              </w:rPr>
            </w:pPr>
            <w:r>
              <w:rPr>
                <w:rFonts w:ascii="Arial" w:cs="Arial" w:eastAsia="Arial" w:hAnsi="Arial"/>
                <w:sz w:val="13"/>
                <w:szCs w:val="13"/>
                <w:b w:val="1"/>
                <w:bCs w:val="1"/>
                <w:color w:val="auto"/>
                <w:w w:val="97"/>
              </w:rPr>
              <w:t>Title</w:t>
            </w:r>
          </w:p>
        </w:tc>
        <w:tc>
          <w:tcPr>
            <w:tcW w:w="1160" w:type="dxa"/>
            <w:vAlign w:val="bottom"/>
            <w:tcBorders>
              <w:bottom w:val="single" w:sz="8" w:color="auto"/>
            </w:tcBorders>
          </w:tcPr>
          <w:p>
            <w:pPr>
              <w:jc w:val="center"/>
              <w:ind w:left="10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73"/>
        </w:trPr>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/s/ Osvaldo Flores, Ph.D.</w:t>
            </w:r>
          </w:p>
        </w:tc>
        <w:tc>
          <w:tcPr>
            <w:tcW w:w="36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President, Chief Executive Officer and Director</w:t>
            </w:r>
          </w:p>
        </w:tc>
        <w:tc>
          <w:tcPr>
            <w:tcW w:w="1160" w:type="dxa"/>
            <w:vAlign w:val="bottom"/>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74"/>
        </w:trPr>
        <w:tc>
          <w:tcPr>
            <w:tcW w:w="14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Osvaldo Flores, Ph.D.</w:t>
            </w:r>
          </w:p>
        </w:tc>
        <w:tc>
          <w:tcPr>
            <w:tcW w:w="3620" w:type="dxa"/>
            <w:vAlign w:val="bottom"/>
            <w:tcBorders>
              <w:top w:val="single" w:sz="8" w:color="CCEEFF"/>
            </w:tcBorders>
            <w:vMerge w:val="restart"/>
            <w:shd w:val="clear" w:color="auto" w:fill="CCEEFF"/>
          </w:tcPr>
          <w:p>
            <w:pPr>
              <w:jc w:val="center"/>
              <w:ind w:left="249"/>
              <w:spacing w:after="0" w:line="160" w:lineRule="exact"/>
              <w:rPr>
                <w:sz w:val="20"/>
                <w:szCs w:val="20"/>
                <w:color w:val="auto"/>
              </w:rPr>
            </w:pPr>
            <w:r>
              <w:rPr>
                <w:rFonts w:ascii="Arial" w:cs="Arial" w:eastAsia="Arial" w:hAnsi="Arial"/>
                <w:sz w:val="14"/>
                <w:szCs w:val="14"/>
                <w:i w:val="1"/>
                <w:iCs w:val="1"/>
                <w:color w:val="auto"/>
              </w:rPr>
              <w:t>(Principal Executive Officer)</w:t>
            </w:r>
          </w:p>
        </w:tc>
        <w:tc>
          <w:tcPr>
            <w:tcW w:w="1160" w:type="dxa"/>
            <w:vAlign w:val="bottom"/>
            <w:tcBorders>
              <w:top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auto"/>
            </w:tcBorders>
            <w:vMerge w:val="continue"/>
            <w:shd w:val="clear" w:color="auto" w:fill="CCEEFF"/>
          </w:tcPr>
          <w:p>
            <w:pPr>
              <w:spacing w:after="0"/>
              <w:rPr>
                <w:sz w:val="10"/>
                <w:szCs w:val="10"/>
                <w:color w:val="auto"/>
              </w:rPr>
            </w:pPr>
          </w:p>
        </w:tc>
        <w:tc>
          <w:tcPr>
            <w:tcW w:w="3620" w:type="dxa"/>
            <w:vAlign w:val="bottom"/>
            <w:tcBorders>
              <w:bottom w:val="single" w:sz="8" w:color="CCEEFF"/>
            </w:tcBorders>
            <w:vMerge w:val="continue"/>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/s/ Michael Diem, M.D.</w:t>
            </w:r>
          </w:p>
        </w:tc>
        <w:tc>
          <w:tcPr>
            <w:tcW w:w="3620" w:type="dxa"/>
            <w:vAlign w:val="bottom"/>
          </w:tcPr>
          <w:p>
            <w:pPr>
              <w:jc w:val="center"/>
              <w:ind w:left="69"/>
              <w:spacing w:after="0"/>
              <w:rPr>
                <w:sz w:val="20"/>
                <w:szCs w:val="20"/>
                <w:color w:val="auto"/>
              </w:rPr>
            </w:pPr>
            <w:r>
              <w:rPr>
                <w:rFonts w:ascii="Arial" w:cs="Arial" w:eastAsia="Arial" w:hAnsi="Arial"/>
                <w:sz w:val="14"/>
                <w:szCs w:val="14"/>
                <w:color w:val="auto"/>
              </w:rPr>
              <w:t>Chief Business Officer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Michael Diem, M.D.</w:t>
            </w:r>
          </w:p>
        </w:tc>
        <w:tc>
          <w:tcPr>
            <w:tcW w:w="3620" w:type="dxa"/>
            <w:vAlign w:val="bottom"/>
            <w:vMerge w:val="restart"/>
          </w:tcPr>
          <w:p>
            <w:pPr>
              <w:jc w:val="center"/>
              <w:ind w:left="229"/>
              <w:spacing w:after="0" w:line="160" w:lineRule="exact"/>
              <w:rPr>
                <w:sz w:val="20"/>
                <w:szCs w:val="20"/>
                <w:color w:val="auto"/>
              </w:rPr>
            </w:pPr>
            <w:r>
              <w:rPr>
                <w:rFonts w:ascii="Arial" w:cs="Arial" w:eastAsia="Arial" w:hAnsi="Arial"/>
                <w:sz w:val="14"/>
                <w:szCs w:val="14"/>
                <w:i w:val="1"/>
                <w:iCs w:val="1"/>
                <w:color w:val="auto"/>
              </w:rPr>
              <w:t>(Principal Financial Officer)</w:t>
            </w: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Toshikazu Ban</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Kimberly Blackwell,</w:t>
            </w:r>
          </w:p>
        </w:tc>
        <w:tc>
          <w:tcPr>
            <w:tcW w:w="36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3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M.D.</w:t>
            </w:r>
          </w:p>
        </w:tc>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Cynthia Butitta</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Eli Casdin</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Juergen Eckhardt,</w:t>
            </w:r>
          </w:p>
        </w:tc>
        <w:tc>
          <w:tcPr>
            <w:tcW w:w="3620" w:type="dxa"/>
            <w:vAlign w:val="bottom"/>
            <w:tcBorders>
              <w:top w:val="single" w:sz="8" w:color="CCEEFF"/>
            </w:tcBorders>
            <w:shd w:val="clear" w:color="auto" w:fill="CCEEFF"/>
          </w:tcPr>
          <w:p>
            <w:pPr>
              <w:jc w:val="center"/>
              <w:ind w:left="89"/>
              <w:spacing w:after="0" w:line="151" w:lineRule="exact"/>
              <w:rPr>
                <w:sz w:val="20"/>
                <w:szCs w:val="20"/>
                <w:color w:val="auto"/>
              </w:rPr>
            </w:pPr>
            <w:r>
              <w:rPr>
                <w:rFonts w:ascii="Arial" w:cs="Arial" w:eastAsia="Arial" w:hAnsi="Arial"/>
                <w:sz w:val="14"/>
                <w:szCs w:val="14"/>
                <w:color w:val="auto"/>
              </w:rPr>
              <w:t>Director</w:t>
            </w:r>
          </w:p>
        </w:tc>
        <w:tc>
          <w:tcPr>
            <w:tcW w:w="1160" w:type="dxa"/>
            <w:vAlign w:val="bottom"/>
            <w:tcBorders>
              <w:top w:val="single" w:sz="8" w:color="CCEEFF"/>
            </w:tcBorders>
            <w:shd w:val="clear" w:color="auto" w:fill="CCEEFF"/>
          </w:tcPr>
          <w:p>
            <w:pPr>
              <w:jc w:val="center"/>
              <w:ind w:left="109"/>
              <w:spacing w:after="0" w:line="151" w:lineRule="exact"/>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43"/>
        </w:trPr>
        <w:tc>
          <w:tcPr>
            <w:tcW w:w="140" w:type="dxa"/>
            <w:vAlign w:val="bottom"/>
            <w:shd w:val="clear" w:color="auto" w:fill="CCEEFF"/>
          </w:tcPr>
          <w:p>
            <w:pPr>
              <w:spacing w:after="0"/>
              <w:rPr>
                <w:sz w:val="3"/>
                <w:szCs w:val="3"/>
                <w:color w:val="auto"/>
              </w:rPr>
            </w:pPr>
          </w:p>
        </w:tc>
        <w:tc>
          <w:tcPr>
            <w:tcW w:w="1580" w:type="dxa"/>
            <w:vAlign w:val="bottom"/>
            <w:vMerge w:val="continue"/>
            <w:shd w:val="clear" w:color="auto" w:fill="CCEEFF"/>
          </w:tcPr>
          <w:p>
            <w:pPr>
              <w:spacing w:after="0"/>
              <w:rPr>
                <w:sz w:val="3"/>
                <w:szCs w:val="3"/>
                <w:color w:val="auto"/>
              </w:rPr>
            </w:pPr>
          </w:p>
        </w:tc>
        <w:tc>
          <w:tcPr>
            <w:tcW w:w="3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3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 Chairman of the Board</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Joseph Jimenez</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620" w:type="dxa"/>
            <w:vAlign w:val="bottom"/>
            <w:tcBorders>
              <w:bottom w:val="single" w:sz="8" w:color="CCEEFF"/>
            </w:tcBorders>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65"/>
        </w:trPr>
        <w:tc>
          <w:tcPr>
            <w:tcW w:w="14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Alessandro Riva, M.D.</w:t>
            </w:r>
          </w:p>
        </w:tc>
        <w:tc>
          <w:tcPr>
            <w:tcW w:w="3620" w:type="dxa"/>
            <w:vAlign w:val="bottom"/>
            <w:tcBorders>
              <w:top w:val="single" w:sz="8" w:color="CCEEFF"/>
            </w:tcBorders>
            <w:vMerge w:val="continue"/>
            <w:shd w:val="clear" w:color="auto" w:fill="CCEEFF"/>
          </w:tcPr>
          <w:p>
            <w:pPr>
              <w:spacing w:after="0"/>
              <w:rPr>
                <w:sz w:val="5"/>
                <w:szCs w:val="5"/>
                <w:color w:val="auto"/>
              </w:rPr>
            </w:pPr>
          </w:p>
        </w:tc>
        <w:tc>
          <w:tcPr>
            <w:tcW w:w="11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4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jc w:val="center"/>
              <w:ind w:left="89"/>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jc w:val="center"/>
              <w:ind w:left="109"/>
              <w:spacing w:after="0"/>
              <w:rPr>
                <w:sz w:val="20"/>
                <w:szCs w:val="20"/>
                <w:color w:val="auto"/>
              </w:rPr>
            </w:pPr>
            <w:r>
              <w:rPr>
                <w:rFonts w:ascii="Arial" w:cs="Arial" w:eastAsia="Arial" w:hAnsi="Arial"/>
                <w:sz w:val="14"/>
                <w:szCs w:val="14"/>
                <w:color w:val="auto"/>
              </w:rPr>
              <w:t>June 14, 2021</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Carlo Rizzuto, Ph.D.</w:t>
            </w:r>
          </w:p>
        </w:tc>
        <w:tc>
          <w:tcPr>
            <w:tcW w:w="36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*By:  /s/ Osvaldo Flores,</w:t>
            </w:r>
          </w:p>
        </w:tc>
        <w:tc>
          <w:tcPr>
            <w:tcW w:w="3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rPr>
              <w:t>Ph.D.</w:t>
            </w:r>
          </w:p>
        </w:tc>
        <w:tc>
          <w:tcPr>
            <w:tcW w:w="36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Osvaldo Flores, Ph.D.</w:t>
            </w:r>
          </w:p>
        </w:tc>
        <w:tc>
          <w:tcPr>
            <w:tcW w:w="36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Attorney-in-fact</w:t>
            </w:r>
          </w:p>
        </w:tc>
        <w:tc>
          <w:tcPr>
            <w:tcW w:w="3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7"/>
          <w:szCs w:val="17"/>
          <w:b w:val="1"/>
          <w:bCs w:val="1"/>
          <w:color w:val="auto"/>
        </w:rPr>
        <w:t>Exhibit 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2" w:lineRule="exact"/>
        <w:rPr>
          <w:sz w:val="20"/>
          <w:szCs w:val="20"/>
          <w:color w:val="auto"/>
        </w:rPr>
      </w:pPr>
    </w:p>
    <w:p>
      <w:pPr>
        <w:ind w:left="4880" w:right="4760" w:hanging="114"/>
        <w:spacing w:after="0" w:line="678" w:lineRule="auto"/>
        <w:tabs>
          <w:tab w:leader="none" w:pos="4988"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Shares of Common Stock </w:t>
      </w:r>
      <w:r>
        <w:rPr>
          <w:rFonts w:ascii="Arial" w:cs="Arial" w:eastAsia="Arial" w:hAnsi="Arial"/>
          <w:sz w:val="12"/>
          <w:szCs w:val="12"/>
          <w:b w:val="1"/>
          <w:bCs w:val="1"/>
          <w:u w:val="single" w:color="auto"/>
          <w:color w:val="auto"/>
        </w:rPr>
        <w:t>Underwriting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Underwriting Agreement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2021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BofA Securities,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SVB Leerink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Piper Sandler &amp; Co.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the several Underwriters listed 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Schedule 1 hereto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c/o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383 Madison Avenue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10179</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c/o BofA Securities,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One Bryant Park</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10036</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c/o SVB Leerink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1301 Avenue of the Americas, 12th Floor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c/o Piper Sandler &amp; Co.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800 Nicollet Mall, Suite 900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Minneapolis, MN 55402</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Century Therapeutics, Inc., a Delaware corporation (the “Company”), proposes to issue and sell to the several underwriters listed in Schedule 1 hereto (the “Underwriters”), for whom J.P.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Morgan Securities LLC, BofA Securities, Inc., SVB Leerink LLC and 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6089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280" w:name="page281"/>
    <w:bookmarkEnd w:id="280"/>
    <w:p>
      <w:pPr>
        <w:jc w:val="both"/>
        <w:ind w:right="60"/>
        <w:spacing w:after="0" w:line="300" w:lineRule="auto"/>
        <w:rPr>
          <w:sz w:val="20"/>
          <w:szCs w:val="20"/>
          <w:color w:val="auto"/>
        </w:rPr>
      </w:pPr>
      <w:r>
        <w:rPr>
          <w:rFonts w:ascii="Arial" w:cs="Arial" w:eastAsia="Arial" w:hAnsi="Arial"/>
          <w:sz w:val="13"/>
          <w:szCs w:val="13"/>
          <w:color w:val="auto"/>
        </w:rPr>
        <w:t>are acting as representatives (together, the “Representatives”), an aggregate of [●] shares of common stock, par value $0.0001 per share (the “Common Stock”), of the Company (the “Underwritten Shares”) and, at the option of the Underwriters, up to an additional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hereby confirms its agreement with the several Underwriters concerning the purchase and sale of the Shares, as follows:</w:t>
      </w:r>
    </w:p>
    <w:p>
      <w:pPr>
        <w:spacing w:after="0" w:line="182" w:lineRule="exact"/>
        <w:rPr>
          <w:sz w:val="20"/>
          <w:szCs w:val="20"/>
          <w:color w:val="auto"/>
        </w:rPr>
      </w:pPr>
    </w:p>
    <w:p>
      <w:pPr>
        <w:ind w:firstLine="520"/>
        <w:spacing w:after="0" w:line="258" w:lineRule="auto"/>
        <w:tabs>
          <w:tab w:leader="none" w:pos="1263"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auto"/>
        </w:rPr>
        <w:t>Registration Statement</w:t>
      </w:r>
      <w:r>
        <w:rPr>
          <w:rFonts w:ascii="Arial" w:cs="Arial" w:eastAsia="Arial" w:hAnsi="Arial"/>
          <w:sz w:val="14"/>
          <w:szCs w:val="14"/>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54" w:lineRule="exact"/>
        <w:rPr>
          <w:sz w:val="20"/>
          <w:szCs w:val="20"/>
          <w:color w:val="auto"/>
        </w:rPr>
      </w:pPr>
    </w:p>
    <w:p>
      <w:pPr>
        <w:ind w:right="180" w:firstLine="514"/>
        <w:spacing w:after="0" w:line="325" w:lineRule="auto"/>
        <w:rPr>
          <w:sz w:val="20"/>
          <w:szCs w:val="20"/>
          <w:color w:val="auto"/>
        </w:rPr>
      </w:pPr>
      <w:r>
        <w:rPr>
          <w:rFonts w:ascii="Arial" w:cs="Arial" w:eastAsia="Arial" w:hAnsi="Arial"/>
          <w:sz w:val="13"/>
          <w:szCs w:val="13"/>
          <w:color w:val="auto"/>
        </w:rPr>
        <w:t>At or prior to the Applicable Time (as defined below), the Company had prepared the following information (collectively with the pricing information set forth on Annex A, the “Pricing Disclosure Package”): a Preliminary Prospectus dated [●], 2021 and each “free-writing prospectus” (as defined pursuant to Rule 405 under the Securities Act) listed on Annex A hereto.</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“Applicable Time” means [●] [A/P].M., New York City time, on [●], 2021.</w:t>
      </w:r>
    </w:p>
    <w:p>
      <w:pPr>
        <w:spacing w:after="0" w:line="182" w:lineRule="exact"/>
        <w:rPr>
          <w:sz w:val="20"/>
          <w:szCs w:val="20"/>
          <w:color w:val="auto"/>
        </w:rPr>
      </w:pPr>
    </w:p>
    <w:p>
      <w:pPr>
        <w:ind w:left="1260" w:hanging="740"/>
        <w:spacing w:after="0"/>
        <w:tabs>
          <w:tab w:leader="none" w:pos="1260"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Purchase of the Shares</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right="120" w:firstLine="777"/>
        <w:spacing w:after="0" w:line="300" w:lineRule="auto"/>
        <w:tabs>
          <w:tab w:leader="none" w:pos="1465" w:val="left"/>
        </w:tabs>
        <w:numPr>
          <w:ilvl w:val="1"/>
          <w:numId w:val="136"/>
        </w:numPr>
        <w:rPr>
          <w:rFonts w:ascii="Arial" w:cs="Arial" w:eastAsia="Arial" w:hAnsi="Arial"/>
          <w:sz w:val="13"/>
          <w:szCs w:val="13"/>
          <w:color w:val="auto"/>
        </w:rPr>
      </w:pPr>
      <w:r>
        <w:rPr>
          <w:rFonts w:ascii="Arial" w:cs="Arial" w:eastAsia="Arial" w:hAnsi="Arial"/>
          <w:sz w:val="13"/>
          <w:szCs w:val="13"/>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81" w:name="page282"/>
    <w:bookmarkEnd w:id="281"/>
    <w:p>
      <w:pPr>
        <w:ind w:right="180" w:firstLine="514"/>
        <w:spacing w:after="0" w:line="335" w:lineRule="auto"/>
        <w:rPr>
          <w:sz w:val="20"/>
          <w:szCs w:val="20"/>
          <w:color w:val="auto"/>
        </w:rPr>
      </w:pPr>
      <w:r>
        <w:rPr>
          <w:rFonts w:ascii="Arial" w:cs="Arial" w:eastAsia="Arial" w:hAnsi="Arial"/>
          <w:sz w:val="12"/>
          <w:szCs w:val="12"/>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08" w:lineRule="exact"/>
        <w:rPr>
          <w:sz w:val="20"/>
          <w:szCs w:val="20"/>
          <w:color w:val="auto"/>
        </w:rPr>
      </w:pPr>
    </w:p>
    <w:p>
      <w:pPr>
        <w:ind w:right="140" w:firstLine="514"/>
        <w:spacing w:after="0" w:line="265" w:lineRule="auto"/>
        <w:rPr>
          <w:sz w:val="20"/>
          <w:szCs w:val="20"/>
          <w:color w:val="auto"/>
        </w:rPr>
      </w:pPr>
      <w:r>
        <w:rPr>
          <w:rFonts w:ascii="Arial" w:cs="Arial" w:eastAsia="Arial" w:hAnsi="Arial"/>
          <w:sz w:val="14"/>
          <w:szCs w:val="14"/>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46" w:lineRule="exact"/>
        <w:rPr>
          <w:sz w:val="20"/>
          <w:szCs w:val="20"/>
          <w:color w:val="auto"/>
        </w:rPr>
      </w:pPr>
    </w:p>
    <w:p>
      <w:pPr>
        <w:jc w:val="both"/>
        <w:ind w:right="60" w:firstLine="514"/>
        <w:spacing w:after="0" w:line="262" w:lineRule="auto"/>
        <w:rPr>
          <w:sz w:val="20"/>
          <w:szCs w:val="20"/>
          <w:color w:val="auto"/>
        </w:rPr>
      </w:pPr>
      <w:r>
        <w:rPr>
          <w:rFonts w:ascii="Arial" w:cs="Arial" w:eastAsia="Arial" w:hAnsi="Arial"/>
          <w:sz w:val="14"/>
          <w:szCs w:val="14"/>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49" w:lineRule="exact"/>
        <w:rPr>
          <w:sz w:val="20"/>
          <w:szCs w:val="20"/>
          <w:color w:val="auto"/>
        </w:rPr>
      </w:pPr>
    </w:p>
    <w:p>
      <w:pPr>
        <w:ind w:right="420" w:firstLine="777"/>
        <w:spacing w:after="0" w:line="285" w:lineRule="auto"/>
        <w:tabs>
          <w:tab w:leader="none" w:pos="1473"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31" w:lineRule="exact"/>
        <w:rPr>
          <w:rFonts w:ascii="Arial" w:cs="Arial" w:eastAsia="Arial" w:hAnsi="Arial"/>
          <w:sz w:val="14"/>
          <w:szCs w:val="14"/>
          <w:color w:val="auto"/>
        </w:rPr>
      </w:pPr>
    </w:p>
    <w:p>
      <w:pPr>
        <w:ind w:firstLine="777"/>
        <w:spacing w:after="0" w:line="261" w:lineRule="auto"/>
        <w:tabs>
          <w:tab w:leader="none" w:pos="146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Payment for the Shares shall be made by wire transfer in immediately available funds to the account specified by the Company to the Representatives in the case of the Underwritten Shares, at the offices of Davis Polk &amp; Wardwell LLP, 450 Lexington Avenue, New York, New York 10017 at 10:00 A.M. New York City time on [●], 2021,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49" w:lineRule="exact"/>
        <w:rPr>
          <w:sz w:val="20"/>
          <w:szCs w:val="20"/>
          <w:color w:val="auto"/>
        </w:rPr>
      </w:pPr>
    </w:p>
    <w:p>
      <w:pPr>
        <w:ind w:right="160" w:firstLine="514"/>
        <w:spacing w:after="0" w:line="373" w:lineRule="auto"/>
        <w:rPr>
          <w:sz w:val="20"/>
          <w:szCs w:val="20"/>
          <w:color w:val="auto"/>
        </w:rPr>
      </w:pPr>
      <w:r>
        <w:rPr>
          <w:rFonts w:ascii="Arial" w:cs="Arial" w:eastAsia="Arial" w:hAnsi="Arial"/>
          <w:sz w:val="12"/>
          <w:szCs w:val="12"/>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20"/>
          </w:cols>
          <w:pgMar w:left="300" w:top="750" w:right="379" w:bottom="1440" w:gutter="0" w:footer="0" w:header="0"/>
        </w:sectPr>
      </w:pPr>
    </w:p>
    <w:bookmarkStart w:id="282" w:name="page283"/>
    <w:bookmarkEnd w:id="282"/>
    <w:p>
      <w:pPr>
        <w:spacing w:after="0"/>
        <w:rPr>
          <w:sz w:val="20"/>
          <w:szCs w:val="20"/>
          <w:color w:val="auto"/>
        </w:rPr>
      </w:pPr>
      <w:r>
        <w:rPr>
          <w:rFonts w:ascii="Arial" w:cs="Arial" w:eastAsia="Arial" w:hAnsi="Arial"/>
          <w:sz w:val="13"/>
          <w:szCs w:val="13"/>
          <w:color w:val="auto"/>
        </w:rPr>
        <w:t>such Shares duly paid by the Company. Delivery of the Shares shall be made through the facilities of The Depository Trust Company (“DTC”) unless the Representatives shall otherwise instruct.</w:t>
      </w:r>
    </w:p>
    <w:p>
      <w:pPr>
        <w:spacing w:after="0" w:line="193" w:lineRule="exact"/>
        <w:rPr>
          <w:sz w:val="20"/>
          <w:szCs w:val="20"/>
          <w:color w:val="auto"/>
        </w:rPr>
      </w:pPr>
    </w:p>
    <w:p>
      <w:pPr>
        <w:ind w:firstLine="777"/>
        <w:spacing w:after="0" w:line="260" w:lineRule="auto"/>
        <w:tabs>
          <w:tab w:leader="none" w:pos="1473"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49" w:lineRule="exact"/>
        <w:rPr>
          <w:rFonts w:ascii="Arial" w:cs="Arial" w:eastAsia="Arial" w:hAnsi="Arial"/>
          <w:sz w:val="14"/>
          <w:szCs w:val="14"/>
          <w:color w:val="auto"/>
        </w:rPr>
      </w:pPr>
    </w:p>
    <w:p>
      <w:pPr>
        <w:ind w:left="1260" w:hanging="740"/>
        <w:spacing w:after="0"/>
        <w:tabs>
          <w:tab w:leader="none" w:pos="1260"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Company</w:t>
      </w:r>
      <w:r>
        <w:rPr>
          <w:rFonts w:ascii="Arial" w:cs="Arial" w:eastAsia="Arial" w:hAnsi="Arial"/>
          <w:sz w:val="14"/>
          <w:szCs w:val="14"/>
          <w:color w:val="auto"/>
        </w:rPr>
        <w:t>. The Company represents and warrants to each Underwriter that:</w:t>
      </w:r>
    </w:p>
    <w:p>
      <w:pPr>
        <w:spacing w:after="0" w:line="181" w:lineRule="exact"/>
        <w:rPr>
          <w:rFonts w:ascii="Arial" w:cs="Arial" w:eastAsia="Arial" w:hAnsi="Arial"/>
          <w:sz w:val="14"/>
          <w:szCs w:val="14"/>
          <w:color w:val="auto"/>
        </w:rPr>
      </w:pPr>
    </w:p>
    <w:p>
      <w:pPr>
        <w:ind w:left="520" w:right="120" w:firstLine="514"/>
        <w:spacing w:after="0" w:line="285" w:lineRule="auto"/>
        <w:tabs>
          <w:tab w:leader="none" w:pos="1727" w:val="left"/>
        </w:tabs>
        <w:numPr>
          <w:ilvl w:val="2"/>
          <w:numId w:val="139"/>
        </w:numPr>
        <w:rPr>
          <w:rFonts w:ascii="Arial" w:cs="Arial" w:eastAsia="Arial" w:hAnsi="Arial"/>
          <w:sz w:val="13"/>
          <w:szCs w:val="13"/>
          <w:color w:val="auto"/>
        </w:rPr>
      </w:pPr>
      <w:r>
        <w:rPr>
          <w:rFonts w:ascii="Arial" w:cs="Arial" w:eastAsia="Arial" w:hAnsi="Arial"/>
          <w:sz w:val="13"/>
          <w:szCs w:val="13"/>
          <w:i w:val="1"/>
          <w:iCs w:val="1"/>
          <w:color w:val="auto"/>
        </w:rPr>
        <w:t xml:space="preserve">Preliminary Prospectus. </w:t>
      </w:r>
      <w:r>
        <w:rPr>
          <w:rFonts w:ascii="Arial" w:cs="Arial" w:eastAsia="Arial" w:hAnsi="Arial"/>
          <w:sz w:val="13"/>
          <w:szCs w:val="13"/>
          <w:color w:val="auto"/>
        </w:rPr>
        <w:t>No order preventing or suspending the use of any Preliminary Prospectus has been issued by the Commission, and each Preliminary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34" w:lineRule="exact"/>
        <w:rPr>
          <w:rFonts w:ascii="Arial" w:cs="Arial" w:eastAsia="Arial" w:hAnsi="Arial"/>
          <w:sz w:val="13"/>
          <w:szCs w:val="13"/>
          <w:color w:val="auto"/>
        </w:rPr>
      </w:pPr>
    </w:p>
    <w:p>
      <w:pPr>
        <w:ind w:left="520" w:right="40" w:firstLine="514"/>
        <w:spacing w:after="0" w:line="287" w:lineRule="auto"/>
        <w:tabs>
          <w:tab w:leader="none" w:pos="1735" w:val="left"/>
        </w:tabs>
        <w:numPr>
          <w:ilvl w:val="2"/>
          <w:numId w:val="139"/>
        </w:numPr>
        <w:rPr>
          <w:rFonts w:ascii="Arial" w:cs="Arial" w:eastAsia="Arial" w:hAnsi="Arial"/>
          <w:sz w:val="13"/>
          <w:szCs w:val="13"/>
          <w:color w:val="auto"/>
        </w:rPr>
      </w:pPr>
      <w:r>
        <w:rPr>
          <w:rFonts w:ascii="Arial" w:cs="Arial" w:eastAsia="Arial" w:hAnsi="Arial"/>
          <w:sz w:val="13"/>
          <w:szCs w:val="13"/>
          <w:i w:val="1"/>
          <w:iCs w:val="1"/>
          <w:color w:val="auto"/>
        </w:rPr>
        <w:t>Pricing Disclosure Package</w:t>
      </w:r>
      <w:r>
        <w:rPr>
          <w:rFonts w:ascii="Arial" w:cs="Arial" w:eastAsia="Arial" w:hAnsi="Arial"/>
          <w:sz w:val="13"/>
          <w:szCs w:val="13"/>
          <w:color w:val="auto"/>
        </w:rPr>
        <w:t>. The Pricing Disclosure Package as of the Applicable Time did not, and as of the Closing Date and as of the Additional Closing Date, as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283" w:name="page284"/>
    <w:bookmarkEnd w:id="283"/>
    <w:p>
      <w:pPr>
        <w:ind w:right="200"/>
        <w:spacing w:after="0" w:line="285" w:lineRule="auto"/>
        <w:rPr>
          <w:sz w:val="20"/>
          <w:szCs w:val="20"/>
          <w:color w:val="auto"/>
        </w:rPr>
      </w:pPr>
      <w:r>
        <w:rPr>
          <w:rFonts w:ascii="Arial" w:cs="Arial" w:eastAsia="Arial" w:hAnsi="Arial"/>
          <w:sz w:val="14"/>
          <w:szCs w:val="14"/>
          <w:color w:val="auto"/>
        </w:rPr>
        <w:t>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32" w:lineRule="exact"/>
        <w:rPr>
          <w:sz w:val="20"/>
          <w:szCs w:val="20"/>
          <w:color w:val="auto"/>
        </w:rPr>
      </w:pPr>
    </w:p>
    <w:p>
      <w:pPr>
        <w:ind w:firstLine="514"/>
        <w:spacing w:after="0" w:line="278" w:lineRule="auto"/>
        <w:tabs>
          <w:tab w:leader="none" w:pos="1207" w:val="left"/>
        </w:tabs>
        <w:numPr>
          <w:ilvl w:val="0"/>
          <w:numId w:val="140"/>
        </w:numPr>
        <w:rPr>
          <w:rFonts w:ascii="Arial" w:cs="Arial" w:eastAsia="Arial" w:hAnsi="Arial"/>
          <w:sz w:val="13"/>
          <w:szCs w:val="13"/>
          <w:color w:val="auto"/>
        </w:rPr>
      </w:pPr>
      <w:r>
        <w:rPr>
          <w:rFonts w:ascii="Arial" w:cs="Arial" w:eastAsia="Arial" w:hAnsi="Arial"/>
          <w:sz w:val="13"/>
          <w:szCs w:val="13"/>
          <w:i w:val="1"/>
          <w:iCs w:val="1"/>
          <w:color w:val="auto"/>
        </w:rPr>
        <w:t xml:space="preserve">Issuer Free Writing Prospectus. </w:t>
      </w:r>
      <w:r>
        <w:rPr>
          <w:rFonts w:ascii="Arial" w:cs="Arial" w:eastAsia="Arial" w:hAnsi="Arial"/>
          <w:sz w:val="13"/>
          <w:szCs w:val="13"/>
          <w:color w:val="auto"/>
        </w:rPr>
        <w:t>Other than the Registration Statement, the Preliminary Prospectus and the Prospectus, the Company (including its agents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145" w:lineRule="exact"/>
        <w:rPr>
          <w:rFonts w:ascii="Arial" w:cs="Arial" w:eastAsia="Arial" w:hAnsi="Arial"/>
          <w:sz w:val="13"/>
          <w:szCs w:val="13"/>
          <w:color w:val="auto"/>
        </w:rPr>
      </w:pPr>
    </w:p>
    <w:p>
      <w:pPr>
        <w:ind w:right="20" w:firstLine="514"/>
        <w:spacing w:after="0" w:line="292" w:lineRule="auto"/>
        <w:tabs>
          <w:tab w:leader="none" w:pos="1215" w:val="left"/>
        </w:tabs>
        <w:numPr>
          <w:ilvl w:val="0"/>
          <w:numId w:val="140"/>
        </w:numPr>
        <w:rPr>
          <w:rFonts w:ascii="Arial" w:cs="Arial" w:eastAsia="Arial" w:hAnsi="Arial"/>
          <w:sz w:val="13"/>
          <w:szCs w:val="13"/>
          <w:color w:val="auto"/>
        </w:rPr>
      </w:pPr>
      <w:r>
        <w:rPr>
          <w:rFonts w:ascii="Arial" w:cs="Arial" w:eastAsia="Arial" w:hAnsi="Arial"/>
          <w:sz w:val="13"/>
          <w:szCs w:val="13"/>
          <w:i w:val="1"/>
          <w:iCs w:val="1"/>
          <w:color w:val="auto"/>
        </w:rPr>
        <w:t>Emerging Growth Company</w:t>
      </w:r>
      <w:r>
        <w:rPr>
          <w:rFonts w:ascii="Arial" w:cs="Arial" w:eastAsia="Arial" w:hAnsi="Arial"/>
          <w:sz w:val="13"/>
          <w:szCs w:val="13"/>
          <w:color w:val="auto"/>
        </w:rPr>
        <w:t>. From the time of initial confidential submission of the Registration Statement to the Commission (or, if earlier, the first date on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129" w:lineRule="exact"/>
        <w:rPr>
          <w:rFonts w:ascii="Arial" w:cs="Arial" w:eastAsia="Arial" w:hAnsi="Arial"/>
          <w:sz w:val="13"/>
          <w:szCs w:val="13"/>
          <w:color w:val="auto"/>
        </w:rPr>
      </w:pPr>
    </w:p>
    <w:p>
      <w:pPr>
        <w:ind w:left="1200" w:hanging="686"/>
        <w:spacing w:after="0"/>
        <w:tabs>
          <w:tab w:leader="none" w:pos="1200" w:val="left"/>
        </w:tabs>
        <w:numPr>
          <w:ilvl w:val="0"/>
          <w:numId w:val="140"/>
        </w:numPr>
        <w:rPr>
          <w:rFonts w:ascii="Arial" w:cs="Arial" w:eastAsia="Arial" w:hAnsi="Arial"/>
          <w:sz w:val="13"/>
          <w:szCs w:val="13"/>
          <w:color w:val="auto"/>
        </w:rPr>
      </w:pPr>
      <w:r>
        <w:rPr>
          <w:rFonts w:ascii="Arial" w:cs="Arial" w:eastAsia="Arial" w:hAnsi="Arial"/>
          <w:sz w:val="13"/>
          <w:szCs w:val="13"/>
          <w:i w:val="1"/>
          <w:iCs w:val="1"/>
          <w:color w:val="auto"/>
        </w:rPr>
        <w:t xml:space="preserve">Testing-the-Waters Materials. </w:t>
      </w:r>
      <w:r>
        <w:rPr>
          <w:rFonts w:ascii="Arial" w:cs="Arial" w:eastAsia="Arial" w:hAnsi="Arial"/>
          <w:sz w:val="13"/>
          <w:szCs w:val="13"/>
          <w:color w:val="auto"/>
        </w:rPr>
        <w:t>The Company (i) has not alone engaged in any Testing-the-Waters Communications other than Testing-the-Waters Communications</w:t>
      </w:r>
    </w:p>
    <w:p>
      <w:pPr>
        <w:spacing w:after="0" w:line="365"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84" w:name="page285"/>
    <w:bookmarkEnd w:id="284"/>
    <w:p>
      <w:pPr>
        <w:spacing w:after="0" w:line="258" w:lineRule="auto"/>
        <w:rPr>
          <w:sz w:val="20"/>
          <w:szCs w:val="20"/>
          <w:color w:val="auto"/>
        </w:rPr>
      </w:pPr>
      <w:r>
        <w:rPr>
          <w:rFonts w:ascii="Arial" w:cs="Arial" w:eastAsia="Arial" w:hAnsi="Arial"/>
          <w:sz w:val="14"/>
          <w:szCs w:val="14"/>
          <w:color w:val="auto"/>
        </w:rPr>
        <w:t>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52" w:lineRule="exact"/>
        <w:rPr>
          <w:sz w:val="20"/>
          <w:szCs w:val="20"/>
          <w:color w:val="auto"/>
        </w:rPr>
      </w:pPr>
    </w:p>
    <w:p>
      <w:pPr>
        <w:ind w:right="20" w:firstLine="514"/>
        <w:spacing w:after="0" w:line="280" w:lineRule="auto"/>
        <w:tabs>
          <w:tab w:leader="none" w:pos="1227" w:val="left"/>
        </w:tabs>
        <w:numPr>
          <w:ilvl w:val="0"/>
          <w:numId w:val="141"/>
        </w:numPr>
        <w:rPr>
          <w:rFonts w:ascii="Arial" w:cs="Arial" w:eastAsia="Arial" w:hAnsi="Arial"/>
          <w:sz w:val="13"/>
          <w:szCs w:val="13"/>
          <w:color w:val="auto"/>
        </w:rPr>
      </w:pPr>
      <w:r>
        <w:rPr>
          <w:rFonts w:ascii="Arial" w:cs="Arial" w:eastAsia="Arial" w:hAnsi="Arial"/>
          <w:sz w:val="13"/>
          <w:szCs w:val="13"/>
          <w:i w:val="1"/>
          <w:iCs w:val="1"/>
          <w:color w:val="auto"/>
        </w:rPr>
        <w:t xml:space="preserve">Registration Statement and Prospectus. </w:t>
      </w:r>
      <w:r>
        <w:rPr>
          <w:rFonts w:ascii="Arial" w:cs="Arial" w:eastAsia="Arial" w:hAnsi="Arial"/>
          <w:sz w:val="13"/>
          <w:szCs w:val="13"/>
          <w:color w:val="auto"/>
        </w:rPr>
        <w:t>The Registration Statement has been declared effective by the Commission. No order suspending the effectiveness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applicable provisions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complied and will comply in all material respects with the applicable provisions of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30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285" w:name="page286"/>
    <w:bookmarkEnd w:id="285"/>
    <w:p>
      <w:pPr>
        <w:ind w:right="20" w:firstLine="514"/>
        <w:spacing w:after="0" w:line="280" w:lineRule="auto"/>
        <w:tabs>
          <w:tab w:leader="none" w:pos="1251" w:val="left"/>
        </w:tabs>
        <w:numPr>
          <w:ilvl w:val="0"/>
          <w:numId w:val="142"/>
        </w:numPr>
        <w:rPr>
          <w:rFonts w:ascii="Arial" w:cs="Arial" w:eastAsia="Arial" w:hAnsi="Arial"/>
          <w:sz w:val="13"/>
          <w:szCs w:val="13"/>
          <w:color w:val="auto"/>
        </w:rPr>
      </w:pPr>
      <w:r>
        <w:rPr>
          <w:rFonts w:ascii="Arial" w:cs="Arial" w:eastAsia="Arial" w:hAnsi="Arial"/>
          <w:sz w:val="13"/>
          <w:szCs w:val="13"/>
          <w:i w:val="1"/>
          <w:iCs w:val="1"/>
          <w:color w:val="auto"/>
        </w:rPr>
        <w:t xml:space="preserve">Financial Statements. </w:t>
      </w:r>
      <w:r>
        <w:rPr>
          <w:rFonts w:ascii="Arial" w:cs="Arial" w:eastAsia="Arial" w:hAnsi="Arial"/>
          <w:sz w:val="13"/>
          <w:szCs w:val="13"/>
          <w:color w:val="auto"/>
        </w:rPr>
        <w:t>The financial statements (including the related notes thereto) of the Company and its consolidated subsidiaries included in the 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(“GAAP”)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no “non-GAAP financial measures” (as such term is defined by the rules and regulations of the Commission) that would need to comply with Regulation G of the Exchange Act and Item 10 of Regulation S-K of the Securities Act are disclosed in the Registration Statement, the Pricing Disclosure Package or the Prospectus.</w:t>
      </w:r>
    </w:p>
    <w:p>
      <w:pPr>
        <w:spacing w:after="0" w:line="140" w:lineRule="exact"/>
        <w:rPr>
          <w:rFonts w:ascii="Arial" w:cs="Arial" w:eastAsia="Arial" w:hAnsi="Arial"/>
          <w:sz w:val="13"/>
          <w:szCs w:val="13"/>
          <w:color w:val="auto"/>
        </w:rPr>
      </w:pPr>
    </w:p>
    <w:p>
      <w:pPr>
        <w:ind w:firstLine="514"/>
        <w:spacing w:after="0" w:line="280" w:lineRule="auto"/>
        <w:tabs>
          <w:tab w:leader="none" w:pos="1215" w:val="left"/>
        </w:tabs>
        <w:numPr>
          <w:ilvl w:val="0"/>
          <w:numId w:val="142"/>
        </w:numPr>
        <w:rPr>
          <w:rFonts w:ascii="Arial" w:cs="Arial" w:eastAsia="Arial" w:hAnsi="Arial"/>
          <w:sz w:val="13"/>
          <w:szCs w:val="13"/>
          <w:color w:val="auto"/>
        </w:rPr>
      </w:pPr>
      <w:r>
        <w:rPr>
          <w:rFonts w:ascii="Arial" w:cs="Arial" w:eastAsia="Arial" w:hAnsi="Arial"/>
          <w:sz w:val="13"/>
          <w:szCs w:val="13"/>
          <w:i w:val="1"/>
          <w:iCs w:val="1"/>
          <w:color w:val="auto"/>
        </w:rPr>
        <w:t xml:space="preserve">No Material Adverse Change. </w:t>
      </w:r>
      <w:r>
        <w:rPr>
          <w:rFonts w:ascii="Arial" w:cs="Arial" w:eastAsia="Arial" w:hAnsi="Arial"/>
          <w:sz w:val="13"/>
          <w:szCs w:val="13"/>
          <w:color w:val="auto"/>
        </w:rPr>
        <w:t>Since the date of the most recent financial statements of the Company included in the Registration Statement, the Pricing Disclosure</w:t>
      </w:r>
      <w:r>
        <w:rPr>
          <w:rFonts w:ascii="Arial" w:cs="Arial" w:eastAsia="Arial" w:hAnsi="Arial"/>
          <w:sz w:val="13"/>
          <w:szCs w:val="13"/>
          <w:i w:val="1"/>
          <w:iCs w:val="1"/>
          <w:color w:val="auto"/>
        </w:rPr>
        <w:t xml:space="preserve"> </w:t>
      </w:r>
      <w:r>
        <w:rPr>
          <w:rFonts w:ascii="Arial" w:cs="Arial" w:eastAsia="Arial" w:hAnsi="Arial"/>
          <w:sz w:val="13"/>
          <w:szCs w:val="13"/>
          <w:color w:val="auto"/>
        </w:rPr>
        <w:t>Package 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00"/>
          </w:cols>
          <w:pgMar w:left="820" w:top="750" w:right="379" w:bottom="1440" w:gutter="0" w:footer="0" w:header="0"/>
        </w:sectPr>
      </w:pPr>
    </w:p>
    <w:bookmarkStart w:id="286" w:name="page287"/>
    <w:bookmarkEnd w:id="286"/>
    <w:p>
      <w:pPr>
        <w:ind w:right="20" w:firstLine="514"/>
        <w:spacing w:after="0" w:line="283" w:lineRule="auto"/>
        <w:tabs>
          <w:tab w:leader="none" w:pos="1255" w:val="left"/>
        </w:tabs>
        <w:numPr>
          <w:ilvl w:val="0"/>
          <w:numId w:val="143"/>
        </w:numPr>
        <w:rPr>
          <w:rFonts w:ascii="Arial" w:cs="Arial" w:eastAsia="Arial" w:hAnsi="Arial"/>
          <w:sz w:val="13"/>
          <w:szCs w:val="13"/>
          <w:color w:val="auto"/>
        </w:rPr>
      </w:pPr>
      <w:r>
        <w:rPr>
          <w:rFonts w:ascii="Arial" w:cs="Arial" w:eastAsia="Arial" w:hAnsi="Arial"/>
          <w:sz w:val="13"/>
          <w:szCs w:val="13"/>
          <w:i w:val="1"/>
          <w:iCs w:val="1"/>
          <w:color w:val="auto"/>
        </w:rPr>
        <w:t xml:space="preserve">Organization and Good Standing. </w:t>
      </w:r>
      <w:r>
        <w:rPr>
          <w:rFonts w:ascii="Arial" w:cs="Arial" w:eastAsia="Arial" w:hAnsi="Arial"/>
          <w:sz w:val="13"/>
          <w:szCs w:val="13"/>
          <w:color w:val="auto"/>
        </w:rPr>
        <w:t>The Company and each of its subsidiaries have been duly organized and are validly existing and in good standing under the laws of</w:t>
      </w:r>
      <w:r>
        <w:rPr>
          <w:rFonts w:ascii="Arial" w:cs="Arial" w:eastAsia="Arial" w:hAnsi="Arial"/>
          <w:sz w:val="13"/>
          <w:szCs w:val="13"/>
          <w:i w:val="1"/>
          <w:iCs w:val="1"/>
          <w:color w:val="auto"/>
        </w:rPr>
        <w:t xml:space="preserve"> </w:t>
      </w:r>
      <w:r>
        <w:rPr>
          <w:rFonts w:ascii="Arial" w:cs="Arial" w:eastAsia="Arial" w:hAnsi="Arial"/>
          <w:sz w:val="13"/>
          <w:szCs w:val="13"/>
          <w:color w:val="auto"/>
        </w:rPr>
        <w:t>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136" w:lineRule="exact"/>
        <w:rPr>
          <w:rFonts w:ascii="Arial" w:cs="Arial" w:eastAsia="Arial" w:hAnsi="Arial"/>
          <w:sz w:val="13"/>
          <w:szCs w:val="13"/>
          <w:color w:val="auto"/>
        </w:rPr>
      </w:pPr>
    </w:p>
    <w:p>
      <w:pPr>
        <w:ind w:firstLine="514"/>
        <w:spacing w:after="0" w:line="258" w:lineRule="auto"/>
        <w:tabs>
          <w:tab w:leader="none" w:pos="1255"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Capitalization. </w:t>
      </w:r>
      <w:r>
        <w:rPr>
          <w:rFonts w:ascii="Arial" w:cs="Arial" w:eastAsia="Arial" w:hAnsi="Arial"/>
          <w:sz w:val="14"/>
          <w:szCs w:val="14"/>
          <w:color w:val="auto"/>
        </w:rPr>
        <w:t>The Company has an authorized capitalization as set forth in the Registration Statement, the Pricing Disclosure Package and the Prospectus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54" w:lineRule="exact"/>
        <w:rPr>
          <w:rFonts w:ascii="Arial" w:cs="Arial" w:eastAsia="Arial" w:hAnsi="Arial"/>
          <w:sz w:val="14"/>
          <w:szCs w:val="14"/>
          <w:color w:val="auto"/>
        </w:rPr>
      </w:pPr>
    </w:p>
    <w:p>
      <w:pPr>
        <w:ind w:right="60" w:firstLine="514"/>
        <w:spacing w:after="0" w:line="262" w:lineRule="auto"/>
        <w:tabs>
          <w:tab w:leader="none" w:pos="1215"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With respect to the stock options (the “Stock Options”) granted pursuant to the stock-based compensation plans of the Company and its subsidiaries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w:t>
      </w: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87" w:name="page288"/>
    <w:bookmarkEnd w:id="287"/>
    <w:p>
      <w:pPr>
        <w:ind w:right="40"/>
        <w:spacing w:after="0" w:line="261" w:lineRule="auto"/>
        <w:rPr>
          <w:sz w:val="20"/>
          <w:szCs w:val="20"/>
          <w:color w:val="auto"/>
        </w:rPr>
      </w:pPr>
      <w:r>
        <w:rPr>
          <w:rFonts w:ascii="Arial" w:cs="Arial" w:eastAsia="Arial" w:hAnsi="Arial"/>
          <w:sz w:val="14"/>
          <w:szCs w:val="14"/>
          <w:color w:val="auto"/>
        </w:rPr>
        <w:t>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49" w:lineRule="exact"/>
        <w:rPr>
          <w:sz w:val="20"/>
          <w:szCs w:val="20"/>
          <w:color w:val="auto"/>
        </w:rPr>
      </w:pPr>
    </w:p>
    <w:p>
      <w:pPr>
        <w:ind w:right="20" w:firstLine="514"/>
        <w:spacing w:after="0" w:line="270" w:lineRule="auto"/>
        <w:tabs>
          <w:tab w:leader="none" w:pos="1255"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Due Authorization. </w:t>
      </w:r>
      <w:r>
        <w:rPr>
          <w:rFonts w:ascii="Arial" w:cs="Arial" w:eastAsia="Arial" w:hAnsi="Arial"/>
          <w:sz w:val="14"/>
          <w:szCs w:val="14"/>
          <w:color w:val="auto"/>
        </w:rPr>
        <w:t>The Company has full right, power and authority to execute and deliver this Agreement and to perform its obligations hereunder; and all action</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be taken for the due and proper authorization, execution and delivery by it of this Agreement and the consummation by it of the transactions contemplated hereby has been duly and validly taken.</w:t>
      </w:r>
    </w:p>
    <w:p>
      <w:pPr>
        <w:spacing w:after="0" w:line="142" w:lineRule="exact"/>
        <w:rPr>
          <w:rFonts w:ascii="Arial" w:cs="Arial" w:eastAsia="Arial" w:hAnsi="Arial"/>
          <w:sz w:val="14"/>
          <w:szCs w:val="14"/>
          <w:color w:val="auto"/>
        </w:rPr>
      </w:pPr>
    </w:p>
    <w:p>
      <w:pPr>
        <w:ind w:left="1180" w:hanging="666"/>
        <w:spacing w:after="0"/>
        <w:tabs>
          <w:tab w:leader="none" w:pos="1180"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Underwriting Agreement. </w:t>
      </w:r>
      <w:r>
        <w:rPr>
          <w:rFonts w:ascii="Arial" w:cs="Arial" w:eastAsia="Arial" w:hAnsi="Arial"/>
          <w:sz w:val="14"/>
          <w:szCs w:val="14"/>
          <w:color w:val="auto"/>
        </w:rPr>
        <w:t>This Agreement has been duly authorized, executed and delivered by the Company.</w:t>
      </w:r>
    </w:p>
    <w:p>
      <w:pPr>
        <w:spacing w:after="0" w:line="181" w:lineRule="exact"/>
        <w:rPr>
          <w:rFonts w:ascii="Arial" w:cs="Arial" w:eastAsia="Arial" w:hAnsi="Arial"/>
          <w:sz w:val="14"/>
          <w:szCs w:val="14"/>
          <w:color w:val="auto"/>
        </w:rPr>
      </w:pPr>
    </w:p>
    <w:p>
      <w:pPr>
        <w:ind w:right="60" w:firstLine="514"/>
        <w:spacing w:after="0" w:line="300" w:lineRule="auto"/>
        <w:tabs>
          <w:tab w:leader="none" w:pos="1215" w:val="left"/>
        </w:tabs>
        <w:numPr>
          <w:ilvl w:val="0"/>
          <w:numId w:val="144"/>
        </w:numPr>
        <w:rPr>
          <w:rFonts w:ascii="Arial" w:cs="Arial" w:eastAsia="Arial" w:hAnsi="Arial"/>
          <w:sz w:val="13"/>
          <w:szCs w:val="13"/>
          <w:color w:val="auto"/>
        </w:rPr>
      </w:pPr>
      <w:r>
        <w:rPr>
          <w:rFonts w:ascii="Arial" w:cs="Arial" w:eastAsia="Arial" w:hAnsi="Arial"/>
          <w:sz w:val="13"/>
          <w:szCs w:val="13"/>
          <w:i w:val="1"/>
          <w:iCs w:val="1"/>
          <w:color w:val="auto"/>
        </w:rPr>
        <w:t xml:space="preserve">The Shares. </w:t>
      </w:r>
      <w:r>
        <w:rPr>
          <w:rFonts w:ascii="Arial" w:cs="Arial" w:eastAsia="Arial" w:hAnsi="Arial"/>
          <w:sz w:val="13"/>
          <w:szCs w:val="13"/>
          <w:color w:val="auto"/>
        </w:rPr>
        <w:t>The Shares to be issued and sold by the Company hereunder have been duly authorized by the Company and, when issued and delivered and paid for as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ben duly waived or satisfied.</w:t>
      </w:r>
    </w:p>
    <w:p>
      <w:pPr>
        <w:spacing w:after="0" w:line="124" w:lineRule="exact"/>
        <w:rPr>
          <w:rFonts w:ascii="Arial" w:cs="Arial" w:eastAsia="Arial" w:hAnsi="Arial"/>
          <w:sz w:val="13"/>
          <w:szCs w:val="13"/>
          <w:color w:val="auto"/>
        </w:rPr>
      </w:pPr>
    </w:p>
    <w:p>
      <w:pPr>
        <w:ind w:right="120" w:firstLine="514"/>
        <w:spacing w:after="0" w:line="285" w:lineRule="auto"/>
        <w:tabs>
          <w:tab w:leader="none" w:pos="1215"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Description of the Underwriting Agreement. </w:t>
      </w:r>
      <w:r>
        <w:rPr>
          <w:rFonts w:ascii="Arial" w:cs="Arial" w:eastAsia="Arial" w:hAnsi="Arial"/>
          <w:sz w:val="14"/>
          <w:szCs w:val="14"/>
          <w:color w:val="auto"/>
        </w:rPr>
        <w:t>This Agreement conforms in all material respects to the description thereof contained in the Registration Statement,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Pricing Disclosure Package and the Prospectus.</w:t>
      </w:r>
    </w:p>
    <w:p>
      <w:pPr>
        <w:spacing w:after="0" w:line="131" w:lineRule="exact"/>
        <w:rPr>
          <w:rFonts w:ascii="Arial" w:cs="Arial" w:eastAsia="Arial" w:hAnsi="Arial"/>
          <w:sz w:val="14"/>
          <w:szCs w:val="14"/>
          <w:color w:val="auto"/>
        </w:rPr>
      </w:pPr>
    </w:p>
    <w:p>
      <w:pPr>
        <w:ind w:firstLine="514"/>
        <w:spacing w:after="0" w:line="261" w:lineRule="auto"/>
        <w:tabs>
          <w:tab w:leader="none" w:pos="1215"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No Violation or Default. </w:t>
      </w:r>
      <w:r>
        <w:rPr>
          <w:rFonts w:ascii="Arial" w:cs="Arial" w:eastAsia="Arial" w:hAnsi="Arial"/>
          <w:sz w:val="14"/>
          <w:szCs w:val="14"/>
          <w:color w:val="auto"/>
        </w:rPr>
        <w:t>Neither the Company nor any of its subsidiaries is (i) in violation of its charter or by-laws or similar organizational documents; (ii) in default,</w:t>
      </w:r>
      <w:r>
        <w:rPr>
          <w:rFonts w:ascii="Arial" w:cs="Arial" w:eastAsia="Arial" w:hAnsi="Arial"/>
          <w:sz w:val="14"/>
          <w:szCs w:val="14"/>
          <w:i w:val="1"/>
          <w:iCs w:val="1"/>
          <w:color w:val="auto"/>
        </w:rPr>
        <w:t xml:space="preserve"> </w:t>
      </w:r>
      <w:r>
        <w:rPr>
          <w:rFonts w:ascii="Arial" w:cs="Arial" w:eastAsia="Arial" w:hAnsi="Arial"/>
          <w:sz w:val="14"/>
          <w:szCs w:val="14"/>
          <w:color w:val="auto"/>
        </w:rPr>
        <w:t>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32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20"/>
          </w:cols>
          <w:pgMar w:left="820" w:top="750" w:right="359" w:bottom="1440" w:gutter="0" w:footer="0" w:header="0"/>
        </w:sectPr>
      </w:pPr>
    </w:p>
    <w:bookmarkStart w:id="288" w:name="page289"/>
    <w:bookmarkEnd w:id="288"/>
    <w:p>
      <w:pPr>
        <w:ind w:right="60" w:firstLine="514"/>
        <w:spacing w:after="0" w:line="259" w:lineRule="auto"/>
        <w:tabs>
          <w:tab w:leader="none" w:pos="1215"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 xml:space="preserve">No Conflicts. </w:t>
      </w:r>
      <w:r>
        <w:rPr>
          <w:rFonts w:ascii="Arial" w:cs="Arial" w:eastAsia="Arial" w:hAnsi="Arial"/>
          <w:sz w:val="14"/>
          <w:szCs w:val="14"/>
          <w:color w:val="auto"/>
        </w:rPr>
        <w:t>The execution, delivery and performance by the Company of this Agreement, the issuance and sale of the Shares and the consummation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termination, modification, acceleration, lien, charge or encumbrance that would not, individually or in the aggregate, reasonably be expected to have a Material Adverse Effect.</w:t>
      </w:r>
    </w:p>
    <w:p>
      <w:pPr>
        <w:spacing w:after="0" w:line="149" w:lineRule="exact"/>
        <w:rPr>
          <w:rFonts w:ascii="Arial" w:cs="Arial" w:eastAsia="Arial" w:hAnsi="Arial"/>
          <w:sz w:val="14"/>
          <w:szCs w:val="14"/>
          <w:color w:val="auto"/>
        </w:rPr>
      </w:pPr>
    </w:p>
    <w:p>
      <w:pPr>
        <w:ind w:right="260" w:firstLine="514"/>
        <w:spacing w:after="0" w:line="262" w:lineRule="auto"/>
        <w:tabs>
          <w:tab w:leader="none" w:pos="1227"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 xml:space="preserve">No Consents Required. </w:t>
      </w:r>
      <w:r>
        <w:rPr>
          <w:rFonts w:ascii="Arial" w:cs="Arial" w:eastAsia="Arial" w:hAnsi="Arial"/>
          <w:sz w:val="14"/>
          <w:szCs w:val="14"/>
          <w:color w:val="auto"/>
        </w:rPr>
        <w:t>No consent, approval, authorization, order, registration or qualification of or with any court or arbitrator or governmental or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authority is required for the execution, delivery and performance by the Company of this Agreement, the issuance and sale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49" w:lineRule="exact"/>
        <w:rPr>
          <w:rFonts w:ascii="Arial" w:cs="Arial" w:eastAsia="Arial" w:hAnsi="Arial"/>
          <w:sz w:val="14"/>
          <w:szCs w:val="14"/>
          <w:color w:val="auto"/>
        </w:rPr>
      </w:pPr>
    </w:p>
    <w:p>
      <w:pPr>
        <w:ind w:firstLine="514"/>
        <w:spacing w:after="0" w:line="282" w:lineRule="auto"/>
        <w:tabs>
          <w:tab w:leader="none" w:pos="1235" w:val="left"/>
        </w:tabs>
        <w:numPr>
          <w:ilvl w:val="0"/>
          <w:numId w:val="145"/>
        </w:numPr>
        <w:rPr>
          <w:rFonts w:ascii="Arial" w:cs="Arial" w:eastAsia="Arial" w:hAnsi="Arial"/>
          <w:sz w:val="13"/>
          <w:szCs w:val="13"/>
          <w:color w:val="auto"/>
        </w:rPr>
      </w:pPr>
      <w:r>
        <w:rPr>
          <w:rFonts w:ascii="Arial" w:cs="Arial" w:eastAsia="Arial" w:hAnsi="Arial"/>
          <w:sz w:val="13"/>
          <w:szCs w:val="13"/>
          <w:i w:val="1"/>
          <w:iCs w:val="1"/>
          <w:color w:val="auto"/>
        </w:rPr>
        <w:t xml:space="preserve">Legal Proceedings. </w:t>
      </w:r>
      <w:r>
        <w:rPr>
          <w:rFonts w:ascii="Arial" w:cs="Arial" w:eastAsia="Arial" w:hAnsi="Arial"/>
          <w:sz w:val="13"/>
          <w:szCs w:val="13"/>
          <w:color w:val="auto"/>
        </w:rPr>
        <w:t>Except as described in the Registration Statement, the Pricing Disclosure Package and the Prospectus, there are no legal, governmental or</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w:t>
      </w:r>
    </w:p>
    <w:p>
      <w:pPr>
        <w:spacing w:after="0" w:line="3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20"/>
          </w:cols>
          <w:pgMar w:left="820" w:top="750" w:right="359"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color w:val="auto"/>
        </w:rPr>
        <w:t>Prospectus that are not so filed as exhibits to the Registration Statement or described in the Registration Statement, the Pricing Disclosure Package and the Prospectus.</w:t>
      </w:r>
    </w:p>
    <w:p>
      <w:pPr>
        <w:spacing w:after="0" w:line="182" w:lineRule="exact"/>
        <w:rPr>
          <w:sz w:val="20"/>
          <w:szCs w:val="20"/>
          <w:color w:val="auto"/>
        </w:rPr>
      </w:pPr>
    </w:p>
    <w:p>
      <w:pPr>
        <w:jc w:val="both"/>
        <w:ind w:right="360" w:firstLine="514"/>
        <w:spacing w:after="0" w:line="270" w:lineRule="auto"/>
        <w:tabs>
          <w:tab w:leader="none" w:pos="1255" w:val="left"/>
        </w:tabs>
        <w:numPr>
          <w:ilvl w:val="0"/>
          <w:numId w:val="146"/>
        </w:numPr>
        <w:rPr>
          <w:rFonts w:ascii="Arial" w:cs="Arial" w:eastAsia="Arial" w:hAnsi="Arial"/>
          <w:sz w:val="14"/>
          <w:szCs w:val="14"/>
          <w:color w:val="auto"/>
        </w:rPr>
      </w:pPr>
      <w:r>
        <w:rPr>
          <w:rFonts w:ascii="Arial" w:cs="Arial" w:eastAsia="Arial" w:hAnsi="Arial"/>
          <w:sz w:val="14"/>
          <w:szCs w:val="14"/>
          <w:i w:val="1"/>
          <w:iCs w:val="1"/>
          <w:color w:val="auto"/>
        </w:rPr>
        <w:t>Independent Accountants</w:t>
      </w:r>
      <w:r>
        <w:rPr>
          <w:rFonts w:ascii="Arial" w:cs="Arial" w:eastAsia="Arial" w:hAnsi="Arial"/>
          <w:sz w:val="14"/>
          <w:szCs w:val="14"/>
          <w:color w:val="auto"/>
        </w:rPr>
        <w:t>. Ernst &amp; Young LLP, who have certified certain financial statements of the Company and its subsidiaries, is an independent registered</w:t>
      </w:r>
      <w:r>
        <w:rPr>
          <w:rFonts w:ascii="Arial" w:cs="Arial" w:eastAsia="Arial" w:hAnsi="Arial"/>
          <w:sz w:val="14"/>
          <w:szCs w:val="14"/>
          <w:i w:val="1"/>
          <w:iCs w:val="1"/>
          <w:color w:val="auto"/>
        </w:rPr>
        <w:t xml:space="preserve"> </w:t>
      </w:r>
      <w:r>
        <w:rPr>
          <w:rFonts w:ascii="Arial" w:cs="Arial" w:eastAsia="Arial" w:hAnsi="Arial"/>
          <w:sz w:val="14"/>
          <w:szCs w:val="14"/>
          <w:color w:val="auto"/>
        </w:rPr>
        <w:t>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42" w:lineRule="exact"/>
        <w:rPr>
          <w:rFonts w:ascii="Arial" w:cs="Arial" w:eastAsia="Arial" w:hAnsi="Arial"/>
          <w:sz w:val="14"/>
          <w:szCs w:val="14"/>
          <w:color w:val="auto"/>
        </w:rPr>
      </w:pPr>
    </w:p>
    <w:p>
      <w:pPr>
        <w:ind w:right="180" w:firstLine="514"/>
        <w:spacing w:after="0" w:line="292" w:lineRule="auto"/>
        <w:tabs>
          <w:tab w:leader="none" w:pos="1215" w:val="left"/>
        </w:tabs>
        <w:numPr>
          <w:ilvl w:val="0"/>
          <w:numId w:val="146"/>
        </w:numPr>
        <w:rPr>
          <w:rFonts w:ascii="Arial" w:cs="Arial" w:eastAsia="Arial" w:hAnsi="Arial"/>
          <w:sz w:val="13"/>
          <w:szCs w:val="13"/>
          <w:color w:val="auto"/>
        </w:rPr>
      </w:pPr>
      <w:r>
        <w:rPr>
          <w:rFonts w:ascii="Arial" w:cs="Arial" w:eastAsia="Arial" w:hAnsi="Arial"/>
          <w:sz w:val="13"/>
          <w:szCs w:val="13"/>
          <w:i w:val="1"/>
          <w:iCs w:val="1"/>
          <w:color w:val="auto"/>
        </w:rPr>
        <w:t>Title to Real and Personal Property</w:t>
      </w:r>
      <w:r>
        <w:rPr>
          <w:rFonts w:ascii="Arial" w:cs="Arial" w:eastAsia="Arial" w:hAnsi="Arial"/>
          <w:sz w:val="13"/>
          <w:szCs w:val="13"/>
          <w:color w:val="auto"/>
        </w:rPr>
        <w:t>. The Company and its subsidiaries have good and marketable title in fee simple (in the case of real property) to, or have valid</w:t>
      </w:r>
      <w:r>
        <w:rPr>
          <w:rFonts w:ascii="Arial" w:cs="Arial" w:eastAsia="Arial" w:hAnsi="Arial"/>
          <w:sz w:val="13"/>
          <w:szCs w:val="13"/>
          <w:i w:val="1"/>
          <w:iCs w:val="1"/>
          <w:color w:val="auto"/>
        </w:rPr>
        <w:t xml:space="preserve"> </w:t>
      </w:r>
      <w:r>
        <w:rPr>
          <w:rFonts w:ascii="Arial" w:cs="Arial" w:eastAsia="Arial" w:hAnsi="Arial"/>
          <w:sz w:val="13"/>
          <w:szCs w:val="13"/>
          <w:color w:val="auto"/>
        </w:rPr>
        <w:t>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129" w:lineRule="exact"/>
        <w:rPr>
          <w:rFonts w:ascii="Arial" w:cs="Arial" w:eastAsia="Arial" w:hAnsi="Arial"/>
          <w:sz w:val="13"/>
          <w:szCs w:val="13"/>
          <w:color w:val="auto"/>
        </w:rPr>
      </w:pPr>
    </w:p>
    <w:p>
      <w:pPr>
        <w:ind w:firstLine="514"/>
        <w:spacing w:after="0" w:line="278" w:lineRule="auto"/>
        <w:tabs>
          <w:tab w:leader="none" w:pos="1215" w:val="left"/>
        </w:tabs>
        <w:numPr>
          <w:ilvl w:val="0"/>
          <w:numId w:val="146"/>
        </w:numPr>
        <w:rPr>
          <w:rFonts w:ascii="Arial" w:cs="Arial" w:eastAsia="Arial" w:hAnsi="Arial"/>
          <w:sz w:val="13"/>
          <w:szCs w:val="13"/>
          <w:color w:val="auto"/>
        </w:rPr>
      </w:pPr>
      <w:r>
        <w:rPr>
          <w:rFonts w:ascii="Arial" w:cs="Arial" w:eastAsia="Arial" w:hAnsi="Arial"/>
          <w:sz w:val="13"/>
          <w:szCs w:val="13"/>
          <w:i w:val="1"/>
          <w:iCs w:val="1"/>
          <w:color w:val="auto"/>
        </w:rPr>
        <w:t xml:space="preserve">Intellectual Property. </w:t>
      </w:r>
      <w:r>
        <w:rPr>
          <w:rFonts w:ascii="Arial" w:cs="Arial" w:eastAsia="Arial" w:hAnsi="Arial"/>
          <w:sz w:val="13"/>
          <w:szCs w:val="13"/>
          <w:color w:val="auto"/>
        </w:rPr>
        <w:t>(i) The Company and its subsidiaries own or have the valid and enforceable right to use, or can readily acquire on commercially reasonable</w:t>
      </w:r>
      <w:r>
        <w:rPr>
          <w:rFonts w:ascii="Arial" w:cs="Arial" w:eastAsia="Arial" w:hAnsi="Arial"/>
          <w:sz w:val="13"/>
          <w:szCs w:val="13"/>
          <w:i w:val="1"/>
          <w:iCs w:val="1"/>
          <w:color w:val="auto"/>
        </w:rPr>
        <w:t xml:space="preserve"> </w:t>
      </w:r>
      <w:r>
        <w:rPr>
          <w:rFonts w:ascii="Arial" w:cs="Arial" w:eastAsia="Arial" w:hAnsi="Arial"/>
          <w:sz w:val="13"/>
          <w:szCs w:val="13"/>
          <w:color w:val="auto"/>
        </w:rPr>
        <w:t>terms, any and all patents, trademarks, service marks, trade names, domain names and other source indicators, copyrights and copyrightable works, know-how, trade secrets, data, systems, procedures, software, proprietary or confidential information and all other worldwide intellectual property, industrial property and proprietary rights (including all registrations and applications for registration of, and all goodwill associated with, the foregoing) (collectively, “Intellectual Property”) used or held for use in, or necessary for, the conduct of their respective businesses in all material respects as currently conducted and, to the Company’s knowledge, as proposed to be conducted in the Registration Statement, the Pricing Disclosure Package and the Prospectus; (ii) to the Company’s knowledge, the Company’s and its subsidiaries’ conduct of their respective businesses as currently conducted and as proposed to be conducted in the Registration Statement, the Pricing Disclosure Package and the Prospectus, has not infringed, misappropriated or otherwise violated, and will not infringe, misappropriate or otherwise violate, respectively, any Intellectual Property of any person; (iii) there is no claim, action, suit, investigation or proceeding pending against, or to the knowledge of the Company, threatened against, the Company or any of its subsidiaries (A) based upon, or challenging or seeking to deny or restrict, any rights of the Company or any of its subsidiaries in any Intellectual Property owned by or licensed to the Company or any of its subsidiaries, (B) challenging the ownership, validity, enforceability or scope of any Intellectual Property owned or controlled by, or exclusively licensed to, the Company or any of its subsidiaries, or (C) alleging that the Company or any of its subsidiaries has infringed, misappropriated or otherwise violated any Intellectual Property of any person, except, in the case of this subclause (iii), those that could not, individually or in the aggregate, reasonably be expected to have a Material Adverse Effect; (iv) to the knowledge of the Company, the Intellectual Property owned by, or exclusively licensed to, the Company or any of its subsidiaries has not been infringed, misappropriated or otherwise violated by</w:t>
      </w:r>
    </w:p>
    <w:p>
      <w:pPr>
        <w:spacing w:after="0" w:line="3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290" w:name="page291"/>
    <w:bookmarkEnd w:id="290"/>
    <w:p>
      <w:pPr>
        <w:ind w:right="60"/>
        <w:spacing w:after="0" w:line="261" w:lineRule="auto"/>
        <w:rPr>
          <w:sz w:val="20"/>
          <w:szCs w:val="20"/>
          <w:color w:val="auto"/>
        </w:rPr>
      </w:pPr>
      <w:r>
        <w:rPr>
          <w:rFonts w:ascii="Arial" w:cs="Arial" w:eastAsia="Arial" w:hAnsi="Arial"/>
          <w:sz w:val="14"/>
          <w:szCs w:val="14"/>
          <w:color w:val="auto"/>
        </w:rPr>
        <w:t>any person; (v) none of the Intellectual Property owned or controlled by, or exclusively licensed to, the Company or any of its subsidiaries has been adjudged invalid or unenforceable and, to the knowledge of the Company, all Intellectual Property owned or controlled by, or exclusively licensed to, the Company or any of its subsidiaries is valid and enforceable; and (vi) the Company and its subsidiaries have taken commercially reasonable steps in accordance with normal industry practice to maintain the confidentiality of all Intellectual Property of the Company and its subsidiaries the value of which to the Company or any of its subsidiaries is contingent upon maintaining the confidentiality thereof, and, to the knowledge of the Company, no such Intellectual Property has been disclosed other than to employees, representatives and agents of the Company or any of its subsidiaries, all of whom are bound by written confidentiality agreements.</w:t>
      </w:r>
    </w:p>
    <w:p>
      <w:pPr>
        <w:spacing w:after="0" w:line="149" w:lineRule="exact"/>
        <w:rPr>
          <w:sz w:val="20"/>
          <w:szCs w:val="20"/>
          <w:color w:val="auto"/>
        </w:rPr>
      </w:pPr>
    </w:p>
    <w:p>
      <w:pPr>
        <w:ind w:right="140" w:firstLine="514"/>
        <w:spacing w:after="0" w:line="270" w:lineRule="auto"/>
        <w:tabs>
          <w:tab w:leader="none" w:pos="1176"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No Undisclosed Relationships</w:t>
      </w:r>
      <w:r>
        <w:rPr>
          <w:rFonts w:ascii="Arial" w:cs="Arial" w:eastAsia="Arial" w:hAnsi="Arial"/>
          <w:sz w:val="14"/>
          <w:szCs w:val="14"/>
          <w:color w:val="auto"/>
        </w:rPr>
        <w:t>. No relationship, direct or indirect, exists between or among the Company or any of its subsidiaries, on the one hand, and the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42" w:lineRule="exact"/>
        <w:rPr>
          <w:rFonts w:ascii="Arial" w:cs="Arial" w:eastAsia="Arial" w:hAnsi="Arial"/>
          <w:sz w:val="14"/>
          <w:szCs w:val="14"/>
          <w:color w:val="auto"/>
        </w:rPr>
      </w:pPr>
    </w:p>
    <w:p>
      <w:pPr>
        <w:ind w:right="60" w:firstLine="514"/>
        <w:spacing w:after="0" w:line="265" w:lineRule="auto"/>
        <w:tabs>
          <w:tab w:leader="none" w:pos="1215"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Investment Company Act</w:t>
      </w:r>
      <w:r>
        <w:rPr>
          <w:rFonts w:ascii="Arial" w:cs="Arial" w:eastAsia="Arial" w:hAnsi="Arial"/>
          <w:sz w:val="14"/>
          <w:szCs w:val="14"/>
          <w:color w:val="auto"/>
        </w:rPr>
        <w:t>. The Company is not and, after giving effect to the offering and sale of the Shares and the application of the proceeds thereof as described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45" w:lineRule="exact"/>
        <w:rPr>
          <w:rFonts w:ascii="Arial" w:cs="Arial" w:eastAsia="Arial" w:hAnsi="Arial"/>
          <w:sz w:val="14"/>
          <w:szCs w:val="14"/>
          <w:color w:val="auto"/>
        </w:rPr>
      </w:pPr>
    </w:p>
    <w:p>
      <w:pPr>
        <w:ind w:firstLine="514"/>
        <w:spacing w:after="0" w:line="265" w:lineRule="auto"/>
        <w:tabs>
          <w:tab w:leader="none" w:pos="1215"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Taxes. </w:t>
      </w:r>
      <w:r>
        <w:rPr>
          <w:rFonts w:ascii="Arial" w:cs="Arial" w:eastAsia="Arial" w:hAnsi="Arial"/>
          <w:sz w:val="14"/>
          <w:szCs w:val="14"/>
          <w:color w:val="auto"/>
        </w:rPr>
        <w:t>The Company and its subsidiaries have paid all federal, state, local and foreign taxes and filed all tax returns required to be paid or filed through the date hereof;</w:t>
      </w:r>
      <w:r>
        <w:rPr>
          <w:rFonts w:ascii="Arial" w:cs="Arial" w:eastAsia="Arial" w:hAnsi="Arial"/>
          <w:sz w:val="14"/>
          <w:szCs w:val="14"/>
          <w:i w:val="1"/>
          <w:iCs w:val="1"/>
          <w:color w:val="auto"/>
        </w:rPr>
        <w:t xml:space="preserve"> </w:t>
      </w:r>
      <w:r>
        <w:rPr>
          <w:rFonts w:ascii="Arial" w:cs="Arial" w:eastAsia="Arial" w:hAnsi="Arial"/>
          <w:sz w:val="14"/>
          <w:szCs w:val="14"/>
          <w:color w:val="auto"/>
        </w:rPr>
        <w:t>and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 in each case, except as would not, individually or in the aggregate, reasonably be expected to have a Material Adverse Effect.</w:t>
      </w:r>
    </w:p>
    <w:p>
      <w:pPr>
        <w:spacing w:after="0" w:line="145" w:lineRule="exact"/>
        <w:rPr>
          <w:rFonts w:ascii="Arial" w:cs="Arial" w:eastAsia="Arial" w:hAnsi="Arial"/>
          <w:sz w:val="14"/>
          <w:szCs w:val="14"/>
          <w:color w:val="auto"/>
        </w:rPr>
      </w:pPr>
    </w:p>
    <w:p>
      <w:pPr>
        <w:ind w:right="20" w:firstLine="514"/>
        <w:spacing w:after="0" w:line="262" w:lineRule="auto"/>
        <w:tabs>
          <w:tab w:leader="none" w:pos="1207"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Licenses and Permits. </w:t>
      </w:r>
      <w:r>
        <w:rPr>
          <w:rFonts w:ascii="Arial" w:cs="Arial" w:eastAsia="Arial" w:hAnsi="Arial"/>
          <w:sz w:val="14"/>
          <w:szCs w:val="14"/>
          <w:color w:val="auto"/>
        </w:rPr>
        <w:t>The Company and its subsidiaries possess all licenses, sub-licenses, certificates, permits and other authorizations issued by, and have made all</w:t>
      </w:r>
      <w:r>
        <w:rPr>
          <w:rFonts w:ascii="Arial" w:cs="Arial" w:eastAsia="Arial" w:hAnsi="Arial"/>
          <w:sz w:val="14"/>
          <w:szCs w:val="14"/>
          <w:i w:val="1"/>
          <w:iCs w:val="1"/>
          <w:color w:val="auto"/>
        </w:rPr>
        <w:t xml:space="preserve"> </w:t>
      </w:r>
      <w:r>
        <w:rPr>
          <w:rFonts w:ascii="Arial" w:cs="Arial" w:eastAsia="Arial" w:hAnsi="Arial"/>
          <w:sz w:val="14"/>
          <w:szCs w:val="14"/>
          <w:color w:val="auto"/>
        </w:rPr>
        <w:t>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w:t>
      </w: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91" w:name="page292"/>
    <w:bookmarkEnd w:id="291"/>
    <w:p>
      <w:pPr>
        <w:ind w:right="40"/>
        <w:spacing w:after="0" w:line="285" w:lineRule="auto"/>
        <w:rPr>
          <w:sz w:val="20"/>
          <w:szCs w:val="20"/>
          <w:color w:val="auto"/>
        </w:rPr>
      </w:pPr>
      <w:r>
        <w:rPr>
          <w:rFonts w:ascii="Arial" w:cs="Arial" w:eastAsia="Arial" w:hAnsi="Arial"/>
          <w:sz w:val="14"/>
          <w:szCs w:val="14"/>
          <w:color w:val="auto"/>
        </w:rPr>
        <w:t>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32" w:lineRule="exact"/>
        <w:rPr>
          <w:sz w:val="20"/>
          <w:szCs w:val="20"/>
          <w:color w:val="auto"/>
        </w:rPr>
      </w:pPr>
    </w:p>
    <w:p>
      <w:pPr>
        <w:jc w:val="both"/>
        <w:ind w:right="420" w:firstLine="514"/>
        <w:spacing w:after="0" w:line="300" w:lineRule="auto"/>
        <w:tabs>
          <w:tab w:leader="none" w:pos="1164" w:val="left"/>
        </w:tabs>
        <w:numPr>
          <w:ilvl w:val="0"/>
          <w:numId w:val="148"/>
        </w:numPr>
        <w:rPr>
          <w:rFonts w:ascii="Arial" w:cs="Arial" w:eastAsia="Arial" w:hAnsi="Arial"/>
          <w:sz w:val="13"/>
          <w:szCs w:val="13"/>
          <w:color w:val="auto"/>
        </w:rPr>
      </w:pPr>
      <w:r>
        <w:rPr>
          <w:rFonts w:ascii="Arial" w:cs="Arial" w:eastAsia="Arial" w:hAnsi="Arial"/>
          <w:sz w:val="13"/>
          <w:szCs w:val="13"/>
          <w:i w:val="1"/>
          <w:iCs w:val="1"/>
          <w:color w:val="auto"/>
        </w:rPr>
        <w:t xml:space="preserve">No Labor Disputes. </w:t>
      </w:r>
      <w:r>
        <w:rPr>
          <w:rFonts w:ascii="Arial" w:cs="Arial" w:eastAsia="Arial" w:hAnsi="Arial"/>
          <w:sz w:val="13"/>
          <w:szCs w:val="13"/>
          <w:color w:val="auto"/>
        </w:rPr>
        <w:t>No labor disturbance by or dispute with employees of the Company or any of its subsidiaries exists or, to the knowledge of the Company, is</w:t>
      </w:r>
      <w:r>
        <w:rPr>
          <w:rFonts w:ascii="Arial" w:cs="Arial" w:eastAsia="Arial" w:hAnsi="Arial"/>
          <w:sz w:val="13"/>
          <w:szCs w:val="13"/>
          <w:i w:val="1"/>
          <w:iCs w:val="1"/>
          <w:color w:val="auto"/>
        </w:rPr>
        <w:t xml:space="preserve"> </w:t>
      </w:r>
      <w:r>
        <w:rPr>
          <w:rFonts w:ascii="Arial" w:cs="Arial" w:eastAsia="Arial" w:hAnsi="Arial"/>
          <w:sz w:val="13"/>
          <w:szCs w:val="13"/>
          <w:color w:val="auto"/>
        </w:rPr>
        <w:t>contemplated or threatened, and the Company is not aware of any existing or imminent labor disturbance by, or dispute with, the employees of any of its or its subsidiaries’ principal suppliers, contractors or customers, except as would not, individually or in the aggregate, reasonably be expected to have a Material Adverse Effect.</w:t>
      </w:r>
    </w:p>
    <w:p>
      <w:pPr>
        <w:spacing w:after="0" w:line="124" w:lineRule="exact"/>
        <w:rPr>
          <w:rFonts w:ascii="Arial" w:cs="Arial" w:eastAsia="Arial" w:hAnsi="Arial"/>
          <w:sz w:val="13"/>
          <w:szCs w:val="13"/>
          <w:color w:val="auto"/>
        </w:rPr>
      </w:pPr>
    </w:p>
    <w:p>
      <w:pPr>
        <w:ind w:firstLine="514"/>
        <w:spacing w:after="0" w:line="278" w:lineRule="auto"/>
        <w:tabs>
          <w:tab w:leader="none" w:pos="1144" w:val="left"/>
        </w:tabs>
        <w:numPr>
          <w:ilvl w:val="0"/>
          <w:numId w:val="148"/>
        </w:numPr>
        <w:rPr>
          <w:rFonts w:ascii="Arial" w:cs="Arial" w:eastAsia="Arial" w:hAnsi="Arial"/>
          <w:sz w:val="13"/>
          <w:szCs w:val="13"/>
          <w:color w:val="auto"/>
        </w:rPr>
      </w:pPr>
      <w:r>
        <w:rPr>
          <w:rFonts w:ascii="Arial" w:cs="Arial" w:eastAsia="Arial" w:hAnsi="Arial"/>
          <w:sz w:val="13"/>
          <w:szCs w:val="13"/>
          <w:i w:val="1"/>
          <w:iCs w:val="1"/>
          <w:color w:val="auto"/>
        </w:rPr>
        <w:t>Certain Environmental Matters</w:t>
      </w:r>
      <w:r>
        <w:rPr>
          <w:rFonts w:ascii="Arial" w:cs="Arial" w:eastAsia="Arial" w:hAnsi="Arial"/>
          <w:sz w:val="13"/>
          <w:szCs w:val="13"/>
          <w:color w:val="auto"/>
        </w:rPr>
        <w:t>. (i) The Company and its subsidiaries (x) are in compliance with all, and have not violated any, applicable federal, state, local and</w:t>
      </w:r>
      <w:r>
        <w:rPr>
          <w:rFonts w:ascii="Arial" w:cs="Arial" w:eastAsia="Arial" w:hAnsi="Arial"/>
          <w:sz w:val="13"/>
          <w:szCs w:val="13"/>
          <w:i w:val="1"/>
          <w:iCs w:val="1"/>
          <w:color w:val="auto"/>
        </w:rPr>
        <w:t xml:space="preserve"> </w:t>
      </w:r>
      <w:r>
        <w:rPr>
          <w:rFonts w:ascii="Arial" w:cs="Arial" w:eastAsia="Arial" w:hAnsi="Arial"/>
          <w:sz w:val="13"/>
          <w:szCs w:val="13"/>
          <w:color w:val="auto"/>
        </w:rPr>
        <w:t>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the Company to be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individually or in the aggregate, reasonably be expected to have a Material Adverse Effect, and (z) none of the Company or its subsidiaries anticipates material capital expenditures relating to any Environmental Laws.</w:t>
      </w:r>
    </w:p>
    <w:p>
      <w:pPr>
        <w:spacing w:after="0" w:line="145" w:lineRule="exact"/>
        <w:rPr>
          <w:rFonts w:ascii="Arial" w:cs="Arial" w:eastAsia="Arial" w:hAnsi="Arial"/>
          <w:sz w:val="13"/>
          <w:szCs w:val="13"/>
          <w:color w:val="auto"/>
        </w:rPr>
      </w:pPr>
    </w:p>
    <w:p>
      <w:pPr>
        <w:ind w:right="140" w:firstLine="514"/>
        <w:spacing w:after="0" w:line="270" w:lineRule="auto"/>
        <w:tabs>
          <w:tab w:leader="none" w:pos="1164" w:val="left"/>
        </w:tabs>
        <w:numPr>
          <w:ilvl w:val="0"/>
          <w:numId w:val="148"/>
        </w:numPr>
        <w:rPr>
          <w:rFonts w:ascii="Arial" w:cs="Arial" w:eastAsia="Arial" w:hAnsi="Arial"/>
          <w:sz w:val="14"/>
          <w:szCs w:val="14"/>
          <w:color w:val="auto"/>
        </w:rPr>
      </w:pPr>
      <w:r>
        <w:rPr>
          <w:rFonts w:ascii="Arial" w:cs="Arial" w:eastAsia="Arial" w:hAnsi="Arial"/>
          <w:sz w:val="14"/>
          <w:szCs w:val="14"/>
          <w:i w:val="1"/>
          <w:iCs w:val="1"/>
          <w:color w:val="auto"/>
        </w:rPr>
        <w:t>Compliance with ERISA</w:t>
      </w:r>
      <w:r>
        <w:rPr>
          <w:rFonts w:ascii="Arial" w:cs="Arial" w:eastAsia="Arial" w:hAnsi="Arial"/>
          <w:sz w:val="14"/>
          <w:szCs w:val="14"/>
          <w:color w:val="auto"/>
        </w:rPr>
        <w:t>. (i) Each employee benefit plan, within the meaning of Section 3(3) of the Employee Retirement Income Security Act of 1974, as amended</w:t>
      </w:r>
      <w:r>
        <w:rPr>
          <w:rFonts w:ascii="Arial" w:cs="Arial" w:eastAsia="Arial" w:hAnsi="Arial"/>
          <w:sz w:val="14"/>
          <w:szCs w:val="14"/>
          <w:i w:val="1"/>
          <w:iCs w:val="1"/>
          <w:color w:val="auto"/>
        </w:rPr>
        <w:t xml:space="preserve"> </w:t>
      </w:r>
      <w:r>
        <w:rPr>
          <w:rFonts w:ascii="Arial" w:cs="Arial" w:eastAsia="Arial" w:hAnsi="Arial"/>
          <w:sz w:val="14"/>
          <w:szCs w:val="14"/>
          <w:color w:val="auto"/>
        </w:rPr>
        <w:t>(“ERISA”), for which the Company or any member of its “Controlled Group” (defined as any entity, whether or not incorporated, that is under common control with the Company within the meaning of Section 4001(a)(14) of ERISA or any entity that</w:t>
      </w:r>
    </w:p>
    <w:p>
      <w:pPr>
        <w:spacing w:after="0" w:line="313"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92" w:name="page293"/>
    <w:bookmarkEnd w:id="292"/>
    <w:p>
      <w:pPr>
        <w:ind w:right="120"/>
        <w:spacing w:after="0" w:line="303" w:lineRule="auto"/>
        <w:rPr>
          <w:sz w:val="20"/>
          <w:szCs w:val="20"/>
          <w:color w:val="auto"/>
        </w:rPr>
      </w:pPr>
      <w:r>
        <w:rPr>
          <w:rFonts w:ascii="Arial" w:cs="Arial" w:eastAsia="Arial" w:hAnsi="Arial"/>
          <w:sz w:val="12"/>
          <w:szCs w:val="12"/>
          <w:color w:val="auto"/>
        </w:rPr>
        <w:t>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w:t>
      </w:r>
    </w:p>
    <w:p>
      <w:pPr>
        <w:spacing w:after="0" w:line="1" w:lineRule="exact"/>
        <w:rPr>
          <w:sz w:val="20"/>
          <w:szCs w:val="20"/>
          <w:color w:val="auto"/>
        </w:rPr>
      </w:pPr>
    </w:p>
    <w:p>
      <w:pPr>
        <w:spacing w:after="0" w:line="277" w:lineRule="auto"/>
        <w:tabs>
          <w:tab w:leader="none" w:pos="25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44" w:lineRule="exact"/>
        <w:rPr>
          <w:rFonts w:ascii="Arial" w:cs="Arial" w:eastAsia="Arial" w:hAnsi="Arial"/>
          <w:sz w:val="13"/>
          <w:szCs w:val="13"/>
          <w:color w:val="auto"/>
        </w:rPr>
      </w:pPr>
    </w:p>
    <w:p>
      <w:pPr>
        <w:ind w:right="220" w:firstLine="514"/>
        <w:spacing w:after="0" w:line="262" w:lineRule="auto"/>
        <w:tabs>
          <w:tab w:leader="none" w:pos="1144" w:val="left"/>
        </w:tabs>
        <w:numPr>
          <w:ilvl w:val="1"/>
          <w:numId w:val="149"/>
        </w:numPr>
        <w:rPr>
          <w:rFonts w:ascii="Arial" w:cs="Arial" w:eastAsia="Arial" w:hAnsi="Arial"/>
          <w:sz w:val="14"/>
          <w:szCs w:val="14"/>
          <w:color w:val="auto"/>
        </w:rPr>
      </w:pPr>
      <w:r>
        <w:rPr>
          <w:rFonts w:ascii="Arial" w:cs="Arial" w:eastAsia="Arial" w:hAnsi="Arial"/>
          <w:sz w:val="14"/>
          <w:szCs w:val="14"/>
          <w:i w:val="1"/>
          <w:iCs w:val="1"/>
          <w:color w:val="auto"/>
        </w:rPr>
        <w:t>Disclosure Controls</w:t>
      </w:r>
      <w:r>
        <w:rPr>
          <w:rFonts w:ascii="Arial" w:cs="Arial" w:eastAsia="Arial" w:hAnsi="Arial"/>
          <w:sz w:val="14"/>
          <w:szCs w:val="14"/>
          <w:color w:val="auto"/>
        </w:rPr>
        <w:t>. The Company and its subsidiaries maintain an effective system of “disclosure controls and procedures” (as defined in Rule 13a-15(e)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93" w:name="page294"/>
    <w:bookmarkEnd w:id="293"/>
    <w:p>
      <w:pPr>
        <w:ind w:firstLine="514"/>
        <w:spacing w:after="0" w:line="280" w:lineRule="auto"/>
        <w:tabs>
          <w:tab w:leader="none" w:pos="1164" w:val="left"/>
        </w:tabs>
        <w:numPr>
          <w:ilvl w:val="0"/>
          <w:numId w:val="150"/>
        </w:numPr>
        <w:rPr>
          <w:rFonts w:ascii="Arial" w:cs="Arial" w:eastAsia="Arial" w:hAnsi="Arial"/>
          <w:sz w:val="13"/>
          <w:szCs w:val="13"/>
          <w:color w:val="auto"/>
        </w:rPr>
      </w:pPr>
      <w:r>
        <w:rPr>
          <w:rFonts w:ascii="Arial" w:cs="Arial" w:eastAsia="Arial" w:hAnsi="Arial"/>
          <w:sz w:val="13"/>
          <w:szCs w:val="13"/>
          <w:i w:val="1"/>
          <w:iCs w:val="1"/>
          <w:color w:val="auto"/>
        </w:rPr>
        <w:t xml:space="preserve">Accounting Controls. </w:t>
      </w:r>
      <w:r>
        <w:rPr>
          <w:rFonts w:ascii="Arial" w:cs="Arial" w:eastAsia="Arial" w:hAnsi="Arial"/>
          <w:sz w:val="13"/>
          <w:szCs w:val="13"/>
          <w:color w:val="auto"/>
        </w:rPr>
        <w:t>The Company and its subsidiaries maintain systems of “internal control over financial reporting” (as defined in Rule 13a-15(f) of the Exchange</w:t>
      </w:r>
      <w:r>
        <w:rPr>
          <w:rFonts w:ascii="Arial" w:cs="Arial" w:eastAsia="Arial" w:hAnsi="Arial"/>
          <w:sz w:val="13"/>
          <w:szCs w:val="13"/>
          <w:i w:val="1"/>
          <w:iCs w:val="1"/>
          <w:color w:val="auto"/>
        </w:rPr>
        <w:t xml:space="preserve"> </w:t>
      </w:r>
      <w:r>
        <w:rPr>
          <w:rFonts w:ascii="Arial" w:cs="Arial" w:eastAsia="Arial" w:hAnsi="Arial"/>
          <w:sz w:val="13"/>
          <w:szCs w:val="13"/>
          <w:color w:val="auto"/>
        </w:rPr>
        <w:t>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37" w:lineRule="exact"/>
        <w:rPr>
          <w:rFonts w:ascii="Arial" w:cs="Arial" w:eastAsia="Arial" w:hAnsi="Arial"/>
          <w:sz w:val="13"/>
          <w:szCs w:val="13"/>
          <w:color w:val="auto"/>
        </w:rPr>
      </w:pPr>
    </w:p>
    <w:p>
      <w:pPr>
        <w:ind w:firstLine="514"/>
        <w:spacing w:after="0" w:line="261" w:lineRule="auto"/>
        <w:tabs>
          <w:tab w:leader="none" w:pos="1201" w:val="left"/>
        </w:tabs>
        <w:numPr>
          <w:ilvl w:val="0"/>
          <w:numId w:val="150"/>
        </w:numPr>
        <w:rPr>
          <w:rFonts w:ascii="Arial" w:cs="Arial" w:eastAsia="Arial" w:hAnsi="Arial"/>
          <w:sz w:val="14"/>
          <w:szCs w:val="14"/>
          <w:color w:val="auto"/>
        </w:rPr>
      </w:pPr>
      <w:r>
        <w:rPr>
          <w:rFonts w:ascii="Arial" w:cs="Arial" w:eastAsia="Arial" w:hAnsi="Arial"/>
          <w:sz w:val="14"/>
          <w:szCs w:val="14"/>
          <w:i w:val="1"/>
          <w:iCs w:val="1"/>
          <w:color w:val="auto"/>
        </w:rPr>
        <w:t xml:space="preserve">Insurance. </w:t>
      </w:r>
      <w:r>
        <w:rPr>
          <w:rFonts w:ascii="Arial" w:cs="Arial" w:eastAsia="Arial" w:hAnsi="Arial"/>
          <w:sz w:val="14"/>
          <w:szCs w:val="14"/>
          <w:color w:val="auto"/>
        </w:rPr>
        <w:t>The Company and its subsidiaries have insurance covering their respective properties, operations, personnel and businesses, including business interruption</w:t>
      </w:r>
      <w:r>
        <w:rPr>
          <w:rFonts w:ascii="Arial" w:cs="Arial" w:eastAsia="Arial" w:hAnsi="Arial"/>
          <w:sz w:val="14"/>
          <w:szCs w:val="14"/>
          <w:i w:val="1"/>
          <w:iCs w:val="1"/>
          <w:color w:val="auto"/>
        </w:rPr>
        <w:t xml:space="preserve"> </w:t>
      </w:r>
      <w:r>
        <w:rPr>
          <w:rFonts w:ascii="Arial" w:cs="Arial" w:eastAsia="Arial" w:hAnsi="Arial"/>
          <w:sz w:val="14"/>
          <w:szCs w:val="14"/>
          <w:color w:val="auto"/>
        </w:rPr>
        <w:t>insurance, which insurance is in amounts and insures against such losses and risks as are generally maintained by similarly situated companies and which the Company believes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48" w:lineRule="exact"/>
        <w:rPr>
          <w:rFonts w:ascii="Arial" w:cs="Arial" w:eastAsia="Arial" w:hAnsi="Arial"/>
          <w:sz w:val="14"/>
          <w:szCs w:val="14"/>
          <w:color w:val="auto"/>
        </w:rPr>
      </w:pPr>
    </w:p>
    <w:p>
      <w:pPr>
        <w:ind w:right="100" w:firstLine="514"/>
        <w:spacing w:after="0" w:line="262" w:lineRule="auto"/>
        <w:tabs>
          <w:tab w:leader="none" w:pos="1144" w:val="left"/>
        </w:tabs>
        <w:numPr>
          <w:ilvl w:val="0"/>
          <w:numId w:val="150"/>
        </w:numPr>
        <w:rPr>
          <w:rFonts w:ascii="Arial" w:cs="Arial" w:eastAsia="Arial" w:hAnsi="Arial"/>
          <w:sz w:val="14"/>
          <w:szCs w:val="14"/>
          <w:color w:val="auto"/>
        </w:rPr>
      </w:pPr>
      <w:r>
        <w:rPr>
          <w:rFonts w:ascii="Arial" w:cs="Arial" w:eastAsia="Arial" w:hAnsi="Arial"/>
          <w:sz w:val="14"/>
          <w:szCs w:val="14"/>
          <w:i w:val="1"/>
          <w:iCs w:val="1"/>
          <w:color w:val="auto"/>
        </w:rPr>
        <w:t xml:space="preserve">Cybersecurity; Data Protection. </w:t>
      </w:r>
      <w:r>
        <w:rPr>
          <w:rFonts w:ascii="Arial" w:cs="Arial" w:eastAsia="Arial" w:hAnsi="Arial"/>
          <w:sz w:val="14"/>
          <w:szCs w:val="14"/>
          <w:color w:val="auto"/>
        </w:rPr>
        <w:t>Except as would not, individually or in the aggregate, reasonably be expected to have a Material Adverse Effect, the Company and its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respective information technology assets and equipment, computers, systems, networks, hardware, software, websites, applications, and databases (including the data of their respective customers, employees, suppliers, vendors and any third-party data maintained by or on behalf of the Company or any of its subsidiaries ) (collectively, “IT Systems”) are adequate for, and operate and perform as required in connection with the operation of the business of the Company and its subsidiaries as currently conducted, free and clear of all bugs, errors, defects, Trojan horses, time bombs, malware and other</w:t>
      </w:r>
    </w:p>
    <w:p>
      <w:pPr>
        <w:spacing w:after="0" w:line="32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94" w:name="page295"/>
    <w:bookmarkEnd w:id="294"/>
    <w:p>
      <w:pPr>
        <w:spacing w:after="0" w:line="278" w:lineRule="auto"/>
        <w:rPr>
          <w:sz w:val="20"/>
          <w:szCs w:val="20"/>
          <w:color w:val="auto"/>
        </w:rPr>
      </w:pPr>
      <w:r>
        <w:rPr>
          <w:rFonts w:ascii="Arial" w:cs="Arial" w:eastAsia="Arial" w:hAnsi="Arial"/>
          <w:sz w:val="13"/>
          <w:szCs w:val="13"/>
          <w:color w:val="auto"/>
        </w:rPr>
        <w:t>corruptants. The Company and its subsidiaries have implemented and maintained commercially reasonable controls, policies, procedures, and safeguards necessary to maintain and protect their material confidential information and the integrity, continuous operation, redundancy and security of all IT Systems and data (including all personal, personally identifiable, sensitive, confidential or regulated data (including protected health information) (“Personal Data”)) collected, used, stored or otherwise processed in connection with their businesses, and except as would not, individually or in the aggregate, reasonably be expected to have a Material Adverse Effect, there have been no breaches, violations, outages or unauthorized uses of or accesses to same, nor any incidents under internal review or investigations relating to the same. Except as would not, individually or in the aggregate, reasonably be expected to have a Material Adverse Effect, the Company and its subsidiaries are presently, and since formation have been, in compliance with all applicable laws or statutes (including without limitation, the Health Insurance Portability and Accountability Act of 1996, as amended by the Health Information Technology for Economic and Clinical Health Act) and all judgments, orders, rules and regulations of any court or arbitrator or governmental or regulatory authority, internal and external privacy policies, applicable industry standards and contractual obligations, in each case, relating to the privacy and security of IT Systems and Personal Data, the protection of such IT Systems and Personal Data from unauthorized use, access, misappropriation or modification or the collection, use, transfer, import, export, storage, disposal, disclosure or other processing by the Company and its subsidiaries of Personal Data (“Data Protection Obligations”). Neither the Company nor any of its subsidiaries has received any written notification of or written complaint regarding, or is aware of any other facts that, individually or in the aggregate, would reasonably indicate non-compliance in any material respect with any Data Protection Obligation. There is no pending, or to the knowledge of the Company, threatened, action, suit or proceeding by or before any court or governmental agency, authority or body alleging non-compliance in any material respect with any Data Protection Obligation. The Company and its subsidiaries have taken commercially reasonable steps in accordance with industry standard practices (including, without limitation, implementing and monitoring compliance with adequate measures with respect to technical and physical security) designed to protect Personal Data collected, used or otherwise processed by the Company or any of its subsidiaries. Except as would not, individually or in the aggregate, reasonably be expected to have a Material Adverse Effect, the Company and its subsidiaries have made all disclosures to users or customers required by the Data Protection Obligations, including applicable laws and regulatory rules or requirements, and no such disclosures have been inaccurate or in violation of any such Data Protection Obligations, applicable laws or regulatory rules and requirements.</w:t>
      </w:r>
    </w:p>
    <w:p>
      <w:pPr>
        <w:spacing w:after="0" w:line="139" w:lineRule="exact"/>
        <w:rPr>
          <w:sz w:val="20"/>
          <w:szCs w:val="20"/>
          <w:color w:val="auto"/>
        </w:rPr>
      </w:pPr>
    </w:p>
    <w:p>
      <w:pPr>
        <w:ind w:right="340" w:firstLine="514"/>
        <w:spacing w:after="0" w:line="300" w:lineRule="auto"/>
        <w:tabs>
          <w:tab w:leader="none" w:pos="1144" w:val="left"/>
        </w:tabs>
        <w:numPr>
          <w:ilvl w:val="0"/>
          <w:numId w:val="151"/>
        </w:numPr>
        <w:rPr>
          <w:rFonts w:ascii="Arial" w:cs="Arial" w:eastAsia="Arial" w:hAnsi="Arial"/>
          <w:sz w:val="13"/>
          <w:szCs w:val="13"/>
          <w:color w:val="auto"/>
        </w:rPr>
      </w:pPr>
      <w:r>
        <w:rPr>
          <w:rFonts w:ascii="Arial" w:cs="Arial" w:eastAsia="Arial" w:hAnsi="Arial"/>
          <w:sz w:val="13"/>
          <w:szCs w:val="13"/>
          <w:i w:val="1"/>
          <w:iCs w:val="1"/>
          <w:color w:val="auto"/>
        </w:rPr>
        <w:t xml:space="preserve">No Unlawful Payments. </w:t>
      </w:r>
      <w:r>
        <w:rPr>
          <w:rFonts w:ascii="Arial" w:cs="Arial" w:eastAsia="Arial" w:hAnsi="Arial"/>
          <w:sz w:val="13"/>
          <w:szCs w:val="13"/>
          <w:color w:val="auto"/>
        </w:rPr>
        <w:t>Neither the Company nor any of its subsidiaries nor any director, officer or employee of the Company or any of its subsidiaries nor,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w:t>
      </w:r>
    </w:p>
    <w:p>
      <w:pPr>
        <w:spacing w:after="0" w:line="29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921" w:right="339" w:bottom="1440" w:gutter="0" w:footer="0" w:header="0"/>
        </w:sectPr>
      </w:pPr>
    </w:p>
    <w:bookmarkStart w:id="295" w:name="page296"/>
    <w:bookmarkEnd w:id="295"/>
    <w:p>
      <w:pPr>
        <w:ind w:right="40"/>
        <w:spacing w:after="0" w:line="283" w:lineRule="auto"/>
        <w:rPr>
          <w:sz w:val="20"/>
          <w:szCs w:val="20"/>
          <w:color w:val="auto"/>
        </w:rPr>
      </w:pPr>
      <w:r>
        <w:rPr>
          <w:rFonts w:ascii="Arial" w:cs="Arial" w:eastAsia="Arial" w:hAnsi="Arial"/>
          <w:sz w:val="13"/>
          <w:szCs w:val="13"/>
          <w:color w:val="auto"/>
        </w:rPr>
        <w:t>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37" w:lineRule="exact"/>
        <w:rPr>
          <w:sz w:val="20"/>
          <w:szCs w:val="20"/>
          <w:color w:val="auto"/>
        </w:rPr>
      </w:pPr>
    </w:p>
    <w:p>
      <w:pPr>
        <w:ind w:firstLine="514"/>
        <w:spacing w:after="0" w:line="261" w:lineRule="auto"/>
        <w:tabs>
          <w:tab w:leader="none" w:pos="1188" w:val="left"/>
        </w:tabs>
        <w:numPr>
          <w:ilvl w:val="0"/>
          <w:numId w:val="152"/>
        </w:numPr>
        <w:rPr>
          <w:rFonts w:ascii="Arial" w:cs="Arial" w:eastAsia="Arial" w:hAnsi="Arial"/>
          <w:sz w:val="14"/>
          <w:szCs w:val="14"/>
          <w:color w:val="auto"/>
        </w:rPr>
      </w:pPr>
      <w:r>
        <w:rPr>
          <w:rFonts w:ascii="Arial" w:cs="Arial" w:eastAsia="Arial" w:hAnsi="Arial"/>
          <w:sz w:val="14"/>
          <w:szCs w:val="14"/>
          <w:i w:val="1"/>
          <w:iCs w:val="1"/>
          <w:color w:val="auto"/>
        </w:rPr>
        <w:t>Compliance with Anti-Money Laundering Laws</w:t>
      </w:r>
      <w:r>
        <w:rPr>
          <w:rFonts w:ascii="Arial" w:cs="Arial" w:eastAsia="Arial" w:hAnsi="Arial"/>
          <w:sz w:val="14"/>
          <w:szCs w:val="14"/>
          <w:color w:val="auto"/>
        </w:rPr>
        <w:t>. The operations of the Company and its subsidiaries are and have been conducted at all times in compliance with</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48" w:lineRule="exact"/>
        <w:rPr>
          <w:rFonts w:ascii="Arial" w:cs="Arial" w:eastAsia="Arial" w:hAnsi="Arial"/>
          <w:sz w:val="14"/>
          <w:szCs w:val="14"/>
          <w:color w:val="auto"/>
        </w:rPr>
      </w:pPr>
    </w:p>
    <w:p>
      <w:pPr>
        <w:ind w:firstLine="514"/>
        <w:spacing w:after="0" w:line="281" w:lineRule="auto"/>
        <w:tabs>
          <w:tab w:leader="none" w:pos="1188" w:val="left"/>
        </w:tabs>
        <w:numPr>
          <w:ilvl w:val="0"/>
          <w:numId w:val="152"/>
        </w:numPr>
        <w:rPr>
          <w:rFonts w:ascii="Arial" w:cs="Arial" w:eastAsia="Arial" w:hAnsi="Arial"/>
          <w:sz w:val="13"/>
          <w:szCs w:val="13"/>
          <w:color w:val="auto"/>
        </w:rPr>
      </w:pPr>
      <w:r>
        <w:rPr>
          <w:rFonts w:ascii="Arial" w:cs="Arial" w:eastAsia="Arial" w:hAnsi="Arial"/>
          <w:sz w:val="13"/>
          <w:szCs w:val="13"/>
          <w:i w:val="1"/>
          <w:iCs w:val="1"/>
          <w:color w:val="auto"/>
        </w:rPr>
        <w:t xml:space="preserve">No Conflicts with Sanctions Laws. </w:t>
      </w:r>
      <w:r>
        <w:rPr>
          <w:rFonts w:ascii="Arial" w:cs="Arial" w:eastAsia="Arial" w:hAnsi="Arial"/>
          <w:sz w:val="13"/>
          <w:szCs w:val="13"/>
          <w:color w:val="auto"/>
        </w:rPr>
        <w:t>Neither the Company nor any of its subsidiaries, directors, officers, or employees, nor, to the knowledge of the Company, any agent,</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nor is the Company or any of its subsidiaries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w:t>
      </w: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296" w:name="page297"/>
    <w:bookmarkEnd w:id="296"/>
    <w:p>
      <w:pPr>
        <w:ind w:right="20"/>
        <w:spacing w:after="0" w:line="270" w:lineRule="auto"/>
        <w:rPr>
          <w:sz w:val="20"/>
          <w:szCs w:val="20"/>
          <w:color w:val="auto"/>
        </w:rPr>
      </w:pPr>
      <w:r>
        <w:rPr>
          <w:rFonts w:ascii="Arial" w:cs="Arial" w:eastAsia="Arial" w:hAnsi="Arial"/>
          <w:sz w:val="14"/>
          <w:szCs w:val="14"/>
          <w:color w:val="auto"/>
        </w:rPr>
        <w:t>person participating in the transaction, whether as underwriter, advisor, investor or otherwise) of Sanctions. Since formation,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42" w:lineRule="exact"/>
        <w:rPr>
          <w:sz w:val="20"/>
          <w:szCs w:val="20"/>
          <w:color w:val="auto"/>
        </w:rPr>
      </w:pPr>
    </w:p>
    <w:p>
      <w:pPr>
        <w:ind w:right="160" w:firstLine="514"/>
        <w:spacing w:after="0" w:line="265" w:lineRule="auto"/>
        <w:tabs>
          <w:tab w:leader="none" w:pos="1144"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No Restrictions on Subsidiaries</w:t>
      </w:r>
      <w:r>
        <w:rPr>
          <w:rFonts w:ascii="Arial" w:cs="Arial" w:eastAsia="Arial" w:hAnsi="Arial"/>
          <w:sz w:val="14"/>
          <w:szCs w:val="14"/>
          <w:color w:val="auto"/>
        </w:rPr>
        <w:t>. No subsidiary of the Company is currently prohibited, directly or indirectly, under any agreement or other instrument to which it is a</w:t>
      </w:r>
      <w:r>
        <w:rPr>
          <w:rFonts w:ascii="Arial" w:cs="Arial" w:eastAsia="Arial" w:hAnsi="Arial"/>
          <w:sz w:val="14"/>
          <w:szCs w:val="14"/>
          <w:i w:val="1"/>
          <w:iCs w:val="1"/>
          <w:color w:val="auto"/>
        </w:rPr>
        <w:t xml:space="preserve"> </w:t>
      </w:r>
      <w:r>
        <w:rPr>
          <w:rFonts w:ascii="Arial" w:cs="Arial" w:eastAsia="Arial" w:hAnsi="Arial"/>
          <w:sz w:val="14"/>
          <w:szCs w:val="14"/>
          <w:color w:val="auto"/>
        </w:rPr>
        <w:t>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45" w:lineRule="exact"/>
        <w:rPr>
          <w:rFonts w:ascii="Arial" w:cs="Arial" w:eastAsia="Arial" w:hAnsi="Arial"/>
          <w:sz w:val="14"/>
          <w:szCs w:val="14"/>
          <w:color w:val="auto"/>
        </w:rPr>
      </w:pPr>
    </w:p>
    <w:p>
      <w:pPr>
        <w:ind w:right="80" w:firstLine="514"/>
        <w:spacing w:after="0" w:line="270" w:lineRule="auto"/>
        <w:tabs>
          <w:tab w:leader="none" w:pos="1188"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 xml:space="preserve">No Broker’s Fees. </w:t>
      </w:r>
      <w:r>
        <w:rPr>
          <w:rFonts w:ascii="Arial" w:cs="Arial" w:eastAsia="Arial" w:hAnsi="Arial"/>
          <w:sz w:val="14"/>
          <w:szCs w:val="14"/>
          <w:color w:val="auto"/>
        </w:rPr>
        <w:t>Neither the Company nor any of its subsidiaries is a party to any contract, agreement or understanding with any person (other than this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that would give rise to a valid claim against the Company or any of its subsidiaries or any Underwriter for a brokerage commission, finder’s fee or like payment in connection with the offering and sale of the Shares.</w:t>
      </w:r>
    </w:p>
    <w:p>
      <w:pPr>
        <w:spacing w:after="0" w:line="142" w:lineRule="exact"/>
        <w:rPr>
          <w:rFonts w:ascii="Arial" w:cs="Arial" w:eastAsia="Arial" w:hAnsi="Arial"/>
          <w:sz w:val="14"/>
          <w:szCs w:val="14"/>
          <w:color w:val="auto"/>
        </w:rPr>
      </w:pPr>
    </w:p>
    <w:p>
      <w:pPr>
        <w:ind w:right="100" w:firstLine="514"/>
        <w:spacing w:after="0" w:line="285" w:lineRule="auto"/>
        <w:tabs>
          <w:tab w:leader="none" w:pos="1223"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No Registration Rights</w:t>
      </w:r>
      <w:r>
        <w:rPr>
          <w:rFonts w:ascii="Arial" w:cs="Arial" w:eastAsia="Arial" w:hAnsi="Arial"/>
          <w:sz w:val="14"/>
          <w:szCs w:val="14"/>
          <w:color w:val="auto"/>
        </w:rPr>
        <w:t>. No person has the right to require the Company or any of its subsidiaries to register any securities for sale under the Securities Act by reason</w:t>
      </w:r>
      <w:r>
        <w:rPr>
          <w:rFonts w:ascii="Arial" w:cs="Arial" w:eastAsia="Arial" w:hAnsi="Arial"/>
          <w:sz w:val="14"/>
          <w:szCs w:val="14"/>
          <w:i w:val="1"/>
          <w:iCs w:val="1"/>
          <w:color w:val="auto"/>
        </w:rPr>
        <w:t xml:space="preserve"> </w:t>
      </w:r>
      <w:r>
        <w:rPr>
          <w:rFonts w:ascii="Arial" w:cs="Arial" w:eastAsia="Arial" w:hAnsi="Arial"/>
          <w:sz w:val="14"/>
          <w:szCs w:val="14"/>
          <w:color w:val="auto"/>
        </w:rPr>
        <w:t>of the filing of the Registration Statement with the Commission or the issuance and sale of the Shares, except for such rights as have been waived.</w:t>
      </w:r>
    </w:p>
    <w:p>
      <w:pPr>
        <w:spacing w:after="0" w:line="131" w:lineRule="exact"/>
        <w:rPr>
          <w:rFonts w:ascii="Arial" w:cs="Arial" w:eastAsia="Arial" w:hAnsi="Arial"/>
          <w:sz w:val="14"/>
          <w:szCs w:val="14"/>
          <w:color w:val="auto"/>
        </w:rPr>
      </w:pPr>
    </w:p>
    <w:p>
      <w:pPr>
        <w:ind w:firstLine="514"/>
        <w:spacing w:after="0" w:line="325" w:lineRule="auto"/>
        <w:tabs>
          <w:tab w:leader="none" w:pos="1144" w:val="left"/>
        </w:tabs>
        <w:numPr>
          <w:ilvl w:val="0"/>
          <w:numId w:val="153"/>
        </w:numPr>
        <w:rPr>
          <w:rFonts w:ascii="Arial" w:cs="Arial" w:eastAsia="Arial" w:hAnsi="Arial"/>
          <w:sz w:val="13"/>
          <w:szCs w:val="13"/>
          <w:color w:val="auto"/>
        </w:rPr>
      </w:pPr>
      <w:r>
        <w:rPr>
          <w:rFonts w:ascii="Arial" w:cs="Arial" w:eastAsia="Arial" w:hAnsi="Arial"/>
          <w:sz w:val="13"/>
          <w:szCs w:val="13"/>
          <w:i w:val="1"/>
          <w:iCs w:val="1"/>
          <w:color w:val="auto"/>
        </w:rPr>
        <w:t xml:space="preserve">No Stabilization. </w:t>
      </w:r>
      <w:r>
        <w:rPr>
          <w:rFonts w:ascii="Arial" w:cs="Arial" w:eastAsia="Arial" w:hAnsi="Arial"/>
          <w:sz w:val="13"/>
          <w:szCs w:val="13"/>
          <w:color w:val="auto"/>
        </w:rPr>
        <w:t>Neither the Company nor any of its subsidiaries, nor, to the Company’s knowledge, affiliates have taken, directly or indirectly, without giving effect to</w:t>
      </w:r>
      <w:r>
        <w:rPr>
          <w:rFonts w:ascii="Arial" w:cs="Arial" w:eastAsia="Arial" w:hAnsi="Arial"/>
          <w:sz w:val="13"/>
          <w:szCs w:val="13"/>
          <w:i w:val="1"/>
          <w:iCs w:val="1"/>
          <w:color w:val="auto"/>
        </w:rPr>
        <w:t xml:space="preserve"> </w:t>
      </w:r>
      <w:r>
        <w:rPr>
          <w:rFonts w:ascii="Arial" w:cs="Arial" w:eastAsia="Arial" w:hAnsi="Arial"/>
          <w:sz w:val="13"/>
          <w:szCs w:val="13"/>
          <w:color w:val="auto"/>
        </w:rPr>
        <w:t>activities by the Underwriters, any action designed to or that could reasonably be expected to cause or result in any stabilization or manipulation of the price of the Shares.</w:t>
      </w:r>
    </w:p>
    <w:p>
      <w:pPr>
        <w:spacing w:after="0" w:line="109" w:lineRule="exact"/>
        <w:rPr>
          <w:rFonts w:ascii="Arial" w:cs="Arial" w:eastAsia="Arial" w:hAnsi="Arial"/>
          <w:sz w:val="13"/>
          <w:szCs w:val="13"/>
          <w:color w:val="auto"/>
        </w:rPr>
      </w:pPr>
    </w:p>
    <w:p>
      <w:pPr>
        <w:ind w:right="20" w:firstLine="514"/>
        <w:spacing w:after="0" w:line="270" w:lineRule="auto"/>
        <w:tabs>
          <w:tab w:leader="none" w:pos="1144"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Margin Rules</w:t>
      </w:r>
      <w:r>
        <w:rPr>
          <w:rFonts w:ascii="Arial" w:cs="Arial" w:eastAsia="Arial" w:hAnsi="Arial"/>
          <w:sz w:val="14"/>
          <w:szCs w:val="14"/>
          <w:color w:val="auto"/>
        </w:rPr>
        <w:t>. Neither the issuance, sale and delivery of the Shares by the Company nor the application of the proceeds thereof by the Company as described in each of</w:t>
      </w:r>
      <w:r>
        <w:rPr>
          <w:rFonts w:ascii="Arial" w:cs="Arial" w:eastAsia="Arial" w:hAnsi="Arial"/>
          <w:sz w:val="14"/>
          <w:szCs w:val="14"/>
          <w:i w:val="1"/>
          <w:iCs w:val="1"/>
          <w:color w:val="auto"/>
        </w:rPr>
        <w:t xml:space="preserve"> </w:t>
      </w:r>
      <w:r>
        <w:rPr>
          <w:rFonts w:ascii="Arial" w:cs="Arial" w:eastAsia="Arial" w:hAnsi="Arial"/>
          <w:sz w:val="14"/>
          <w:szCs w:val="14"/>
          <w:color w:val="auto"/>
        </w:rPr>
        <w:t>the Registration Statement, the Pricing Disclosure Package and the Prospectus will violate Regulation T, U or X of the Board of Governors of the Federal Reserve System or any other regulation of such Board of Governors.</w:t>
      </w:r>
    </w:p>
    <w:p>
      <w:pPr>
        <w:spacing w:after="0" w:line="142" w:lineRule="exact"/>
        <w:rPr>
          <w:rFonts w:ascii="Arial" w:cs="Arial" w:eastAsia="Arial" w:hAnsi="Arial"/>
          <w:sz w:val="14"/>
          <w:szCs w:val="14"/>
          <w:color w:val="auto"/>
        </w:rPr>
      </w:pPr>
    </w:p>
    <w:p>
      <w:pPr>
        <w:ind w:right="80" w:firstLine="514"/>
        <w:spacing w:after="0" w:line="270" w:lineRule="auto"/>
        <w:tabs>
          <w:tab w:leader="none" w:pos="1144"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 xml:space="preserve">Forward-Looking Statements. </w:t>
      </w:r>
      <w:r>
        <w:rPr>
          <w:rFonts w:ascii="Arial" w:cs="Arial" w:eastAsia="Arial" w:hAnsi="Arial"/>
          <w:sz w:val="14"/>
          <w:szCs w:val="14"/>
          <w:color w:val="auto"/>
        </w:rPr>
        <w:t>No forward-looking statement (within the meaning of Section 27A of the Securities Act and Section 21E of the Exchange Act) included</w:t>
      </w:r>
      <w:r>
        <w:rPr>
          <w:rFonts w:ascii="Arial" w:cs="Arial" w:eastAsia="Arial" w:hAnsi="Arial"/>
          <w:sz w:val="14"/>
          <w:szCs w:val="14"/>
          <w:i w:val="1"/>
          <w:iCs w:val="1"/>
          <w:color w:val="auto"/>
        </w:rPr>
        <w:t xml:space="preserve"> </w:t>
      </w:r>
      <w:r>
        <w:rPr>
          <w:rFonts w:ascii="Arial" w:cs="Arial" w:eastAsia="Arial" w:hAnsi="Arial"/>
          <w:sz w:val="14"/>
          <w:szCs w:val="14"/>
          <w:color w:val="auto"/>
        </w:rPr>
        <w:t>in any of the Registration Statement, the Pricing Disclosure Package or the Prospectus has been made or reaffirmed without a reasonable basis or has been disclosed other than in good faith.</w:t>
      </w:r>
    </w:p>
    <w:p>
      <w:pPr>
        <w:spacing w:after="0" w:line="142" w:lineRule="exact"/>
        <w:rPr>
          <w:rFonts w:ascii="Arial" w:cs="Arial" w:eastAsia="Arial" w:hAnsi="Arial"/>
          <w:sz w:val="14"/>
          <w:szCs w:val="14"/>
          <w:color w:val="auto"/>
        </w:rPr>
      </w:pPr>
    </w:p>
    <w:p>
      <w:pPr>
        <w:jc w:val="both"/>
        <w:ind w:right="340" w:firstLine="514"/>
        <w:spacing w:after="0" w:line="270" w:lineRule="auto"/>
        <w:tabs>
          <w:tab w:leader="none" w:pos="1144"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 xml:space="preserve">Statistical and Market Data. </w:t>
      </w:r>
      <w:r>
        <w:rPr>
          <w:rFonts w:ascii="Arial" w:cs="Arial" w:eastAsia="Arial" w:hAnsi="Arial"/>
          <w:sz w:val="14"/>
          <w:szCs w:val="14"/>
          <w:color w:val="auto"/>
        </w:rPr>
        <w:t>Nothing has come to the attention of the Company that has caused the Company to believe that the statistical and market-related data</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each of the Registration Statement, the Pricing Disclosure Package and the Prospectus is not based on or derived from sources that are reliable and accurate in all material respects.</w:t>
      </w:r>
    </w:p>
    <w:p>
      <w:pPr>
        <w:spacing w:after="0" w:line="31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297" w:name="page298"/>
    <w:bookmarkEnd w:id="297"/>
    <w:p>
      <w:pPr>
        <w:jc w:val="both"/>
        <w:ind w:right="120" w:firstLine="514"/>
        <w:spacing w:after="0" w:line="270" w:lineRule="auto"/>
        <w:tabs>
          <w:tab w:leader="none" w:pos="1204"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t>Sarbanes-Oxley Act</w:t>
      </w:r>
      <w:r>
        <w:rPr>
          <w:rFonts w:ascii="Arial" w:cs="Arial" w:eastAsia="Arial" w:hAnsi="Arial"/>
          <w:sz w:val="14"/>
          <w:szCs w:val="14"/>
          <w:color w:val="auto"/>
        </w:rPr>
        <w:t>. There is and has been no failure on the part of the Company or any of the Company’s directors or officers, in their capacities as such, to comply</w:t>
      </w:r>
      <w:r>
        <w:rPr>
          <w:rFonts w:ascii="Arial" w:cs="Arial" w:eastAsia="Arial" w:hAnsi="Arial"/>
          <w:sz w:val="14"/>
          <w:szCs w:val="14"/>
          <w:i w:val="1"/>
          <w:iCs w:val="1"/>
          <w:color w:val="auto"/>
        </w:rPr>
        <w:t xml:space="preserve"> </w:t>
      </w:r>
      <w:r>
        <w:rPr>
          <w:rFonts w:ascii="Arial" w:cs="Arial" w:eastAsia="Arial" w:hAnsi="Arial"/>
          <w:sz w:val="14"/>
          <w:szCs w:val="14"/>
          <w:color w:val="auto"/>
        </w:rPr>
        <w:t>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42" w:lineRule="exact"/>
        <w:rPr>
          <w:rFonts w:ascii="Arial" w:cs="Arial" w:eastAsia="Arial" w:hAnsi="Arial"/>
          <w:sz w:val="14"/>
          <w:szCs w:val="14"/>
          <w:color w:val="auto"/>
        </w:rPr>
      </w:pPr>
    </w:p>
    <w:p>
      <w:pPr>
        <w:ind w:right="40" w:firstLine="514"/>
        <w:spacing w:after="0" w:line="270" w:lineRule="auto"/>
        <w:tabs>
          <w:tab w:leader="none" w:pos="1184"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t>Status under the Securities Act</w:t>
      </w:r>
      <w:r>
        <w:rPr>
          <w:rFonts w:ascii="Arial" w:cs="Arial" w:eastAsia="Arial" w:hAnsi="Arial"/>
          <w:sz w:val="14"/>
          <w:szCs w:val="14"/>
          <w:color w:val="auto"/>
        </w:rPr>
        <w:t>. At the time of filing the Registration Statement and any post-effective amendment thereto, at the earliest time thereafter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Company or any offering participant made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142" w:lineRule="exact"/>
        <w:rPr>
          <w:rFonts w:ascii="Arial" w:cs="Arial" w:eastAsia="Arial" w:hAnsi="Arial"/>
          <w:sz w:val="14"/>
          <w:szCs w:val="14"/>
          <w:color w:val="auto"/>
        </w:rPr>
      </w:pPr>
    </w:p>
    <w:p>
      <w:pPr>
        <w:ind w:firstLine="514"/>
        <w:spacing w:after="0" w:line="278" w:lineRule="auto"/>
        <w:tabs>
          <w:tab w:leader="none" w:pos="1188" w:val="left"/>
        </w:tabs>
        <w:numPr>
          <w:ilvl w:val="0"/>
          <w:numId w:val="154"/>
        </w:numPr>
        <w:rPr>
          <w:rFonts w:ascii="Arial" w:cs="Arial" w:eastAsia="Arial" w:hAnsi="Arial"/>
          <w:sz w:val="13"/>
          <w:szCs w:val="13"/>
          <w:color w:val="auto"/>
        </w:rPr>
      </w:pPr>
      <w:r>
        <w:rPr>
          <w:rFonts w:ascii="Arial" w:cs="Arial" w:eastAsia="Arial" w:hAnsi="Arial"/>
          <w:sz w:val="13"/>
          <w:szCs w:val="13"/>
          <w:i w:val="1"/>
          <w:iCs w:val="1"/>
          <w:color w:val="auto"/>
        </w:rPr>
        <w:t>Regulatory Matters; Product Candidates</w:t>
      </w:r>
      <w:r>
        <w:rPr>
          <w:rFonts w:ascii="Arial" w:cs="Arial" w:eastAsia="Arial" w:hAnsi="Arial"/>
          <w:sz w:val="13"/>
          <w:szCs w:val="13"/>
          <w:color w:val="auto"/>
        </w:rPr>
        <w:t>. The Company (collectively with its subsidiaries): (i) has operated and currently operates its business in compliance in all</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respects with applicable provisions of the Health Care Laws (as defined below) of the Food and Drug Administration (“FDA”), the Department of Health and Human Services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subsidiary’s product candidates; (ii) has not received any FDA Form 483, written notice of adverse finding, warning letter, untitled letter or other correspondence or written notice from any court or arbitrator or governmental or regulatory authority alleging or asserting material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except where the absence of such Regulatory Authorizations would not be reasonably expected, individually or in the aggregate, to have a Material Adverse Effect, and such Regulatory Authorizations are valid and in full force and effect in all material respects and the Company is not in material violation of any term of any such Regulatory Authorizations; (iv) has not received written notice of any claim, action, suit, proceeding, hearing, enforcement, investigation, arbitration or other action from the Applicable Regulatory Authorities or any other third party alleging that any product candidate of the Company is in violation of any applicable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material reports, documents, forms, notices, applications, records, claims, submissions and supplements or</w:t>
      </w:r>
    </w:p>
    <w:p>
      <w:pPr>
        <w:spacing w:after="0" w:line="314"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298" w:name="page299"/>
    <w:bookmarkEnd w:id="298"/>
    <w:p>
      <w:pPr>
        <w:ind w:right="60"/>
        <w:spacing w:after="0" w:line="287" w:lineRule="auto"/>
        <w:rPr>
          <w:sz w:val="20"/>
          <w:szCs w:val="20"/>
          <w:color w:val="auto"/>
        </w:rPr>
      </w:pPr>
      <w:r>
        <w:rPr>
          <w:rFonts w:ascii="Arial" w:cs="Arial" w:eastAsia="Arial" w:hAnsi="Arial"/>
          <w:sz w:val="13"/>
          <w:szCs w:val="13"/>
          <w:color w:val="auto"/>
        </w:rPr>
        <w:t>amendments were complete and correct in all material respects on the date filed (or were corrected or supplemented by a subsequent submission); (vii) is not a party to and does not have any ongoing reporting obligations pursuant to any material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and, to the knowledge of the Company, is not subject to a governmental inquiry, investigation, proceeding, or other similar action that could reasonably be expected to result in debarment, suspension, or exclusion.</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Physician Payments Sunshine Act, 42 U.S.C. § 1320a-7h; the Exclusion Statute,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spacing w:after="0" w:line="137" w:lineRule="exact"/>
        <w:rPr>
          <w:sz w:val="20"/>
          <w:szCs w:val="20"/>
          <w:color w:val="auto"/>
        </w:rPr>
      </w:pPr>
    </w:p>
    <w:p>
      <w:pPr>
        <w:ind w:right="60" w:firstLine="514"/>
        <w:spacing w:after="0" w:line="281" w:lineRule="auto"/>
        <w:tabs>
          <w:tab w:leader="none" w:pos="1144" w:val="left"/>
        </w:tabs>
        <w:numPr>
          <w:ilvl w:val="0"/>
          <w:numId w:val="155"/>
        </w:numPr>
        <w:rPr>
          <w:rFonts w:ascii="Arial" w:cs="Arial" w:eastAsia="Arial" w:hAnsi="Arial"/>
          <w:sz w:val="13"/>
          <w:szCs w:val="13"/>
          <w:color w:val="auto"/>
        </w:rPr>
      </w:pPr>
      <w:r>
        <w:rPr>
          <w:rFonts w:ascii="Arial" w:cs="Arial" w:eastAsia="Arial" w:hAnsi="Arial"/>
          <w:sz w:val="13"/>
          <w:szCs w:val="13"/>
          <w:i w:val="1"/>
          <w:iCs w:val="1"/>
          <w:color w:val="auto"/>
        </w:rPr>
        <w:t xml:space="preserve">Preclinical Studies. </w:t>
      </w:r>
      <w:r>
        <w:rPr>
          <w:rFonts w:ascii="Arial" w:cs="Arial" w:eastAsia="Arial" w:hAnsi="Arial"/>
          <w:sz w:val="13"/>
          <w:szCs w:val="13"/>
          <w:color w:val="auto"/>
        </w:rPr>
        <w:t>(i) The preclinical studies conducted by or, to the knowledge of the Company, on behalf of or sponsored by the Company or its subsidiaries, or in</w:t>
      </w:r>
      <w:r>
        <w:rPr>
          <w:rFonts w:ascii="Arial" w:cs="Arial" w:eastAsia="Arial" w:hAnsi="Arial"/>
          <w:sz w:val="13"/>
          <w:szCs w:val="13"/>
          <w:i w:val="1"/>
          <w:iCs w:val="1"/>
          <w:color w:val="auto"/>
        </w:rPr>
        <w:t xml:space="preserve"> </w:t>
      </w:r>
      <w:r>
        <w:rPr>
          <w:rFonts w:ascii="Arial" w:cs="Arial" w:eastAsia="Arial" w:hAnsi="Arial"/>
          <w:sz w:val="13"/>
          <w:szCs w:val="13"/>
          <w:color w:val="auto"/>
        </w:rPr>
        <w:t>which the Company or its subsidiaries have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provisions of the Health Care Laws; (ii) the descriptions in the Registration Statement, the Pricing Disclosure Package and the Prospectus of the results of such studies are accurate and complete descriptions in all material respects and fairly present the data derived therefrom; (iii) the Company has no knowledge of any other studies not described in the Registration Statement, the Pricing Disclosure Package and the Prospectus, the results of which are materially inconsistent with or call into question the results described or referred to in the Registration Statement, the Pricing Disclosure Package and the Prospectus; (iv) the Company and its subsidiaries have operated at all times and are currently in compliance with all applicable provisions of the Health Care Laws, except where such non-compliance would not, individually or in the aggregate, have a Material</w:t>
      </w:r>
    </w:p>
    <w:p>
      <w:pPr>
        <w:spacing w:after="0" w:line="310"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660"/>
          </w:cols>
          <w:pgMar w:left="820" w:top="750" w:right="419" w:bottom="1440" w:gutter="0" w:footer="0" w:header="0"/>
        </w:sectPr>
      </w:pPr>
    </w:p>
    <w:bookmarkStart w:id="299" w:name="page300"/>
    <w:bookmarkEnd w:id="299"/>
    <w:p>
      <w:pPr>
        <w:ind w:right="40"/>
        <w:spacing w:after="0" w:line="261" w:lineRule="auto"/>
        <w:rPr>
          <w:sz w:val="20"/>
          <w:szCs w:val="20"/>
          <w:color w:val="auto"/>
        </w:rPr>
      </w:pPr>
      <w:r>
        <w:rPr>
          <w:rFonts w:ascii="Arial" w:cs="Arial" w:eastAsia="Arial" w:hAnsi="Arial"/>
          <w:sz w:val="14"/>
          <w:szCs w:val="14"/>
          <w:color w:val="auto"/>
        </w:rPr>
        <w:t>Adverse Effect; (v) the Company has provided the Underwriters with all material written notices, correspondence and summaries of all other communications from the Applicable Regulatory Authorities; and (vi) neither the Company nor its subsidiaries have received any written notices, correspondence or other communications from the Applicable Regulatory Authorities or any other governmental agency requiring or threatening the termination, material modification or suspension of any preclinical studies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149" w:lineRule="exact"/>
        <w:rPr>
          <w:sz w:val="20"/>
          <w:szCs w:val="20"/>
          <w:color w:val="auto"/>
        </w:rPr>
      </w:pPr>
    </w:p>
    <w:p>
      <w:pPr>
        <w:ind w:right="140" w:firstLine="514"/>
        <w:spacing w:after="0" w:line="325" w:lineRule="auto"/>
        <w:tabs>
          <w:tab w:leader="none" w:pos="1144" w:val="left"/>
        </w:tabs>
        <w:numPr>
          <w:ilvl w:val="1"/>
          <w:numId w:val="156"/>
        </w:numPr>
        <w:rPr>
          <w:rFonts w:ascii="Arial" w:cs="Arial" w:eastAsia="Arial" w:hAnsi="Arial"/>
          <w:sz w:val="13"/>
          <w:szCs w:val="13"/>
          <w:color w:val="auto"/>
        </w:rPr>
      </w:pPr>
      <w:r>
        <w:rPr>
          <w:rFonts w:ascii="Arial" w:cs="Arial" w:eastAsia="Arial" w:hAnsi="Arial"/>
          <w:sz w:val="13"/>
          <w:szCs w:val="13"/>
          <w:i w:val="1"/>
          <w:iCs w:val="1"/>
          <w:color w:val="auto"/>
        </w:rPr>
        <w:t>No Ratings</w:t>
      </w:r>
      <w:r>
        <w:rPr>
          <w:rFonts w:ascii="Arial" w:cs="Arial" w:eastAsia="Arial" w:hAnsi="Arial"/>
          <w:sz w:val="13"/>
          <w:szCs w:val="13"/>
          <w:color w:val="auto"/>
        </w:rPr>
        <w:t>. There are (and prior to the Closing Date, will be) no debt securities, convertible securities or preferred stock issued or guaranteed by the Company or any</w:t>
      </w:r>
      <w:r>
        <w:rPr>
          <w:rFonts w:ascii="Arial" w:cs="Arial" w:eastAsia="Arial" w:hAnsi="Arial"/>
          <w:sz w:val="13"/>
          <w:szCs w:val="13"/>
          <w:i w:val="1"/>
          <w:iCs w:val="1"/>
          <w:color w:val="auto"/>
        </w:rPr>
        <w:t xml:space="preserve"> </w:t>
      </w:r>
      <w:r>
        <w:rPr>
          <w:rFonts w:ascii="Arial" w:cs="Arial" w:eastAsia="Arial" w:hAnsi="Arial"/>
          <w:sz w:val="13"/>
          <w:szCs w:val="13"/>
          <w:color w:val="auto"/>
        </w:rPr>
        <w:t>of its subsidiaries that are rated by a “nationally recognized statistical rating organization”, as such term is defined in Section 3(a)(62) under the Exchange Act.</w:t>
      </w:r>
    </w:p>
    <w:p>
      <w:pPr>
        <w:spacing w:after="0" w:line="109" w:lineRule="exact"/>
        <w:rPr>
          <w:rFonts w:ascii="Arial" w:cs="Arial" w:eastAsia="Arial" w:hAnsi="Arial"/>
          <w:sz w:val="13"/>
          <w:szCs w:val="13"/>
          <w:color w:val="auto"/>
        </w:rPr>
      </w:pPr>
    </w:p>
    <w:p>
      <w:pPr>
        <w:ind w:left="740" w:hanging="740"/>
        <w:spacing w:after="0"/>
        <w:tabs>
          <w:tab w:leader="none" w:pos="740"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Further Agreements of the Company</w:t>
      </w:r>
      <w:r>
        <w:rPr>
          <w:rFonts w:ascii="Arial" w:cs="Arial" w:eastAsia="Arial" w:hAnsi="Arial"/>
          <w:sz w:val="14"/>
          <w:szCs w:val="14"/>
          <w:color w:val="auto"/>
        </w:rPr>
        <w:t>. The Company covenants and agrees with each Underwriter that:</w:t>
      </w:r>
    </w:p>
    <w:p>
      <w:pPr>
        <w:spacing w:after="0" w:line="181" w:lineRule="exact"/>
        <w:rPr>
          <w:rFonts w:ascii="Arial" w:cs="Arial" w:eastAsia="Arial" w:hAnsi="Arial"/>
          <w:sz w:val="14"/>
          <w:szCs w:val="14"/>
          <w:color w:val="auto"/>
        </w:rPr>
      </w:pPr>
    </w:p>
    <w:p>
      <w:pPr>
        <w:jc w:val="both"/>
        <w:ind w:right="140" w:firstLine="514"/>
        <w:spacing w:after="0" w:line="265" w:lineRule="auto"/>
        <w:tabs>
          <w:tab w:leader="none" w:pos="1208" w:val="left"/>
        </w:tabs>
        <w:numPr>
          <w:ilvl w:val="1"/>
          <w:numId w:val="157"/>
        </w:numPr>
        <w:rPr>
          <w:rFonts w:ascii="Arial" w:cs="Arial" w:eastAsia="Arial" w:hAnsi="Arial"/>
          <w:sz w:val="14"/>
          <w:szCs w:val="14"/>
          <w:color w:val="auto"/>
        </w:rPr>
      </w:pPr>
      <w:r>
        <w:rPr>
          <w:rFonts w:ascii="Arial" w:cs="Arial" w:eastAsia="Arial" w:hAnsi="Arial"/>
          <w:sz w:val="14"/>
          <w:szCs w:val="14"/>
          <w:i w:val="1"/>
          <w:iCs w:val="1"/>
          <w:color w:val="auto"/>
        </w:rPr>
        <w:t xml:space="preserve">Required Filings. </w:t>
      </w:r>
      <w:r>
        <w:rPr>
          <w:rFonts w:ascii="Arial" w:cs="Arial" w:eastAsia="Arial" w:hAnsi="Arial"/>
          <w:sz w:val="14"/>
          <w:szCs w:val="14"/>
          <w:color w:val="auto"/>
        </w:rPr>
        <w:t>The Company will file the final Prospectus with the Commission within the time periods specified by Rule 424(b) and Rule 430A, 430B or 430C</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45" w:lineRule="exact"/>
        <w:rPr>
          <w:rFonts w:ascii="Arial" w:cs="Arial" w:eastAsia="Arial" w:hAnsi="Arial"/>
          <w:sz w:val="14"/>
          <w:szCs w:val="14"/>
          <w:color w:val="auto"/>
        </w:rPr>
      </w:pPr>
    </w:p>
    <w:p>
      <w:pPr>
        <w:ind w:firstLine="514"/>
        <w:spacing w:after="0" w:line="285" w:lineRule="auto"/>
        <w:tabs>
          <w:tab w:leader="none" w:pos="1216" w:val="left"/>
        </w:tabs>
        <w:numPr>
          <w:ilvl w:val="1"/>
          <w:numId w:val="157"/>
        </w:numPr>
        <w:rPr>
          <w:rFonts w:ascii="Arial" w:cs="Arial" w:eastAsia="Arial" w:hAnsi="Arial"/>
          <w:sz w:val="13"/>
          <w:szCs w:val="13"/>
          <w:color w:val="auto"/>
        </w:rPr>
      </w:pPr>
      <w:r>
        <w:rPr>
          <w:rFonts w:ascii="Arial" w:cs="Arial" w:eastAsia="Arial" w:hAnsi="Arial"/>
          <w:sz w:val="13"/>
          <w:szCs w:val="13"/>
          <w:i w:val="1"/>
          <w:iCs w:val="1"/>
          <w:color w:val="auto"/>
        </w:rPr>
        <w:t xml:space="preserve">Delivery of Copies. </w:t>
      </w:r>
      <w:r>
        <w:rPr>
          <w:rFonts w:ascii="Arial" w:cs="Arial" w:eastAsia="Arial" w:hAnsi="Arial"/>
          <w:sz w:val="13"/>
          <w:szCs w:val="13"/>
          <w:color w:val="auto"/>
        </w:rPr>
        <w:t>The Company will deliver, without charge, (i) to the Representatives, two signed copies of the Registration Statement as originally filed and each</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34" w:lineRule="exact"/>
        <w:rPr>
          <w:rFonts w:ascii="Arial" w:cs="Arial" w:eastAsia="Arial" w:hAnsi="Arial"/>
          <w:sz w:val="13"/>
          <w:szCs w:val="13"/>
          <w:color w:val="auto"/>
        </w:rPr>
      </w:pPr>
    </w:p>
    <w:p>
      <w:pPr>
        <w:ind w:right="20" w:firstLine="514"/>
        <w:spacing w:after="0" w:line="285" w:lineRule="auto"/>
        <w:tabs>
          <w:tab w:leader="none" w:pos="1208" w:val="left"/>
        </w:tabs>
        <w:numPr>
          <w:ilvl w:val="1"/>
          <w:numId w:val="157"/>
        </w:numPr>
        <w:rPr>
          <w:rFonts w:ascii="Arial" w:cs="Arial" w:eastAsia="Arial" w:hAnsi="Arial"/>
          <w:sz w:val="14"/>
          <w:szCs w:val="14"/>
          <w:color w:val="auto"/>
        </w:rPr>
      </w:pPr>
      <w:r>
        <w:rPr>
          <w:rFonts w:ascii="Arial" w:cs="Arial" w:eastAsia="Arial" w:hAnsi="Arial"/>
          <w:sz w:val="14"/>
          <w:szCs w:val="14"/>
          <w:i w:val="1"/>
          <w:iCs w:val="1"/>
          <w:color w:val="auto"/>
        </w:rPr>
        <w:t xml:space="preserve">Amendments or Supplements, Issuer Free Writing Prospectuses. </w:t>
      </w:r>
      <w:r>
        <w:rPr>
          <w:rFonts w:ascii="Arial" w:cs="Arial" w:eastAsia="Arial" w:hAnsi="Arial"/>
          <w:sz w:val="14"/>
          <w:szCs w:val="14"/>
          <w:color w:val="auto"/>
        </w:rPr>
        <w:t>Before making, preparing, using, authorizing, approving, referring to or filing any Issuer Free Writing</w:t>
      </w:r>
      <w:r>
        <w:rPr>
          <w:rFonts w:ascii="Arial" w:cs="Arial" w:eastAsia="Arial" w:hAnsi="Arial"/>
          <w:sz w:val="14"/>
          <w:szCs w:val="14"/>
          <w:i w:val="1"/>
          <w:iCs w:val="1"/>
          <w:color w:val="auto"/>
        </w:rPr>
        <w:t xml:space="preserve"> </w:t>
      </w:r>
      <w:r>
        <w:rPr>
          <w:rFonts w:ascii="Arial" w:cs="Arial" w:eastAsia="Arial" w:hAnsi="Arial"/>
          <w:sz w:val="14"/>
          <w:szCs w:val="14"/>
          <w:color w:val="auto"/>
        </w:rPr>
        <w:t>Prospectus, and before filing any amendment or supplement to the Registration</w:t>
      </w:r>
    </w:p>
    <w:p>
      <w:pPr>
        <w:spacing w:after="0" w:line="30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300" w:name="page301"/>
    <w:bookmarkEnd w:id="300"/>
    <w:p>
      <w:pPr>
        <w:ind w:right="100"/>
        <w:spacing w:after="0" w:line="270" w:lineRule="auto"/>
        <w:rPr>
          <w:sz w:val="20"/>
          <w:szCs w:val="20"/>
          <w:color w:val="auto"/>
        </w:rPr>
      </w:pPr>
      <w:r>
        <w:rPr>
          <w:rFonts w:ascii="Arial" w:cs="Arial" w:eastAsia="Arial" w:hAnsi="Arial"/>
          <w:sz w:val="14"/>
          <w:szCs w:val="14"/>
          <w:color w:val="auto"/>
        </w:rPr>
        <w:t>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w:t>
      </w:r>
    </w:p>
    <w:p>
      <w:pPr>
        <w:spacing w:after="0" w:line="142" w:lineRule="exact"/>
        <w:rPr>
          <w:sz w:val="20"/>
          <w:szCs w:val="20"/>
          <w:color w:val="auto"/>
        </w:rPr>
      </w:pPr>
    </w:p>
    <w:p>
      <w:pPr>
        <w:ind w:firstLine="514"/>
        <w:spacing w:after="0" w:line="278" w:lineRule="auto"/>
        <w:tabs>
          <w:tab w:leader="none" w:pos="1215"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 xml:space="preserve">Notice to the Representatives. </w:t>
      </w:r>
      <w:r>
        <w:rPr>
          <w:rFonts w:ascii="Arial" w:cs="Arial" w:eastAsia="Arial" w:hAnsi="Arial"/>
          <w:sz w:val="13"/>
          <w:szCs w:val="13"/>
          <w:color w:val="auto"/>
        </w:rPr>
        <w:t>The Company will advise the Representatives promptly, and confirm such advice in writing (which may be by electronic mail), (i) when</w:t>
      </w:r>
      <w:r>
        <w:rPr>
          <w:rFonts w:ascii="Arial" w:cs="Arial" w:eastAsia="Arial" w:hAnsi="Arial"/>
          <w:sz w:val="13"/>
          <w:szCs w:val="13"/>
          <w:i w:val="1"/>
          <w:iCs w:val="1"/>
          <w:color w:val="auto"/>
        </w:rPr>
        <w:t xml:space="preserve"> </w:t>
      </w:r>
      <w:r>
        <w:rPr>
          <w:rFonts w:ascii="Arial" w:cs="Arial" w:eastAsia="Arial" w:hAnsi="Arial"/>
          <w:sz w:val="13"/>
          <w:szCs w:val="13"/>
          <w:color w:val="auto"/>
        </w:rPr>
        <w:t>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42" w:lineRule="exact"/>
        <w:rPr>
          <w:rFonts w:ascii="Arial" w:cs="Arial" w:eastAsia="Arial" w:hAnsi="Arial"/>
          <w:sz w:val="13"/>
          <w:szCs w:val="13"/>
          <w:color w:val="auto"/>
        </w:rPr>
      </w:pPr>
    </w:p>
    <w:p>
      <w:pPr>
        <w:ind w:right="60" w:firstLine="514"/>
        <w:spacing w:after="0" w:line="325" w:lineRule="auto"/>
        <w:tabs>
          <w:tab w:leader="none" w:pos="1207"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 xml:space="preserve">Ongoing Compliance. </w:t>
      </w:r>
      <w:r>
        <w:rPr>
          <w:rFonts w:ascii="Arial" w:cs="Arial" w:eastAsia="Arial" w:hAnsi="Arial"/>
          <w:sz w:val="13"/>
          <w:szCs w:val="13"/>
          <w:color w:val="auto"/>
        </w:rPr>
        <w:t>(1) If during the Prospectus Delivery Period (i) any event or development shall occur or condition shall exist as a result of which the Prospectus</w:t>
      </w:r>
      <w:r>
        <w:rPr>
          <w:rFonts w:ascii="Arial" w:cs="Arial" w:eastAsia="Arial" w:hAnsi="Arial"/>
          <w:sz w:val="13"/>
          <w:szCs w:val="13"/>
          <w:i w:val="1"/>
          <w:iCs w:val="1"/>
          <w:color w:val="auto"/>
        </w:rPr>
        <w:t xml:space="preserve"> </w:t>
      </w:r>
      <w:r>
        <w:rPr>
          <w:rFonts w:ascii="Arial" w:cs="Arial" w:eastAsia="Arial" w:hAnsi="Arial"/>
          <w:sz w:val="13"/>
          <w:szCs w:val="13"/>
          <w:color w:val="auto"/>
        </w:rPr>
        <w:t>as then amended or supplemented would include any untrue statement of a material fact or omit to state any material fact necessary in order to make the statements</w:t>
      </w: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301" w:name="page302"/>
    <w:bookmarkEnd w:id="301"/>
    <w:p>
      <w:pPr>
        <w:spacing w:after="0" w:line="280" w:lineRule="auto"/>
        <w:rPr>
          <w:sz w:val="20"/>
          <w:szCs w:val="20"/>
          <w:color w:val="auto"/>
        </w:rPr>
      </w:pPr>
      <w:r>
        <w:rPr>
          <w:rFonts w:ascii="Arial" w:cs="Arial" w:eastAsia="Arial" w:hAnsi="Arial"/>
          <w:sz w:val="13"/>
          <w:szCs w:val="13"/>
          <w:color w:val="auto"/>
        </w:rPr>
        <w:t>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38" w:lineRule="exact"/>
        <w:rPr>
          <w:sz w:val="20"/>
          <w:szCs w:val="20"/>
          <w:color w:val="auto"/>
        </w:rPr>
      </w:pPr>
    </w:p>
    <w:p>
      <w:pPr>
        <w:ind w:right="100" w:firstLine="514"/>
        <w:spacing w:after="0" w:line="265" w:lineRule="auto"/>
        <w:tabs>
          <w:tab w:leader="none" w:pos="1227" w:val="left"/>
        </w:tabs>
        <w:numPr>
          <w:ilvl w:val="0"/>
          <w:numId w:val="159"/>
        </w:numPr>
        <w:rPr>
          <w:rFonts w:ascii="Arial" w:cs="Arial" w:eastAsia="Arial" w:hAnsi="Arial"/>
          <w:sz w:val="14"/>
          <w:szCs w:val="14"/>
          <w:color w:val="auto"/>
        </w:rPr>
      </w:pPr>
      <w:r>
        <w:rPr>
          <w:rFonts w:ascii="Arial" w:cs="Arial" w:eastAsia="Arial" w:hAnsi="Arial"/>
          <w:sz w:val="14"/>
          <w:szCs w:val="14"/>
          <w:i w:val="1"/>
          <w:iCs w:val="1"/>
          <w:color w:val="auto"/>
        </w:rPr>
        <w:t xml:space="preserve">Blue Sky Compliance. </w:t>
      </w:r>
      <w:r>
        <w:rPr>
          <w:rFonts w:ascii="Arial" w:cs="Arial" w:eastAsia="Arial" w:hAnsi="Arial"/>
          <w:sz w:val="14"/>
          <w:szCs w:val="14"/>
          <w:color w:val="auto"/>
        </w:rPr>
        <w:t>The Company will qualify the Shares for offer and sale under the securities or Blue Sky laws of such jurisdictions as the Representatives shall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reasonably request and will continue such qualifications in effect so long as required for distribution of the Shares;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45" w:lineRule="exact"/>
        <w:rPr>
          <w:rFonts w:ascii="Arial" w:cs="Arial" w:eastAsia="Arial" w:hAnsi="Arial"/>
          <w:sz w:val="14"/>
          <w:szCs w:val="14"/>
          <w:color w:val="auto"/>
        </w:rPr>
      </w:pPr>
    </w:p>
    <w:p>
      <w:pPr>
        <w:ind w:right="20" w:firstLine="514"/>
        <w:spacing w:after="0" w:line="292" w:lineRule="auto"/>
        <w:tabs>
          <w:tab w:leader="none" w:pos="1215" w:val="left"/>
        </w:tabs>
        <w:numPr>
          <w:ilvl w:val="0"/>
          <w:numId w:val="159"/>
        </w:numPr>
        <w:rPr>
          <w:rFonts w:ascii="Arial" w:cs="Arial" w:eastAsia="Arial" w:hAnsi="Arial"/>
          <w:sz w:val="13"/>
          <w:szCs w:val="13"/>
          <w:color w:val="auto"/>
        </w:rPr>
      </w:pPr>
      <w:r>
        <w:rPr>
          <w:rFonts w:ascii="Arial" w:cs="Arial" w:eastAsia="Arial" w:hAnsi="Arial"/>
          <w:sz w:val="13"/>
          <w:szCs w:val="13"/>
          <w:i w:val="1"/>
          <w:iCs w:val="1"/>
          <w:color w:val="auto"/>
        </w:rPr>
        <w:t xml:space="preserve">Earning Statement. </w:t>
      </w:r>
      <w:r>
        <w:rPr>
          <w:rFonts w:ascii="Arial" w:cs="Arial" w:eastAsia="Arial" w:hAnsi="Arial"/>
          <w:sz w:val="13"/>
          <w:szCs w:val="13"/>
          <w:color w:val="auto"/>
        </w:rPr>
        <w:t>The Company will make generally available to its security holders and the Representatives as soon as practicable an earnings statement that</w:t>
      </w:r>
      <w:r>
        <w:rPr>
          <w:rFonts w:ascii="Arial" w:cs="Arial" w:eastAsia="Arial" w:hAnsi="Arial"/>
          <w:sz w:val="13"/>
          <w:szCs w:val="13"/>
          <w:i w:val="1"/>
          <w:iCs w:val="1"/>
          <w:color w:val="auto"/>
        </w:rPr>
        <w:t xml:space="preserve"> </w:t>
      </w:r>
      <w:r>
        <w:rPr>
          <w:rFonts w:ascii="Arial" w:cs="Arial" w:eastAsia="Arial" w:hAnsi="Arial"/>
          <w:sz w:val="13"/>
          <w:szCs w:val="13"/>
          <w:color w:val="auto"/>
        </w:rPr>
        <w:t>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129" w:lineRule="exact"/>
        <w:rPr>
          <w:rFonts w:ascii="Arial" w:cs="Arial" w:eastAsia="Arial" w:hAnsi="Arial"/>
          <w:sz w:val="13"/>
          <w:szCs w:val="13"/>
          <w:color w:val="auto"/>
        </w:rPr>
      </w:pPr>
    </w:p>
    <w:p>
      <w:pPr>
        <w:ind w:right="100" w:firstLine="514"/>
        <w:spacing w:after="0" w:line="285" w:lineRule="auto"/>
        <w:tabs>
          <w:tab w:leader="none" w:pos="1215" w:val="left"/>
        </w:tabs>
        <w:numPr>
          <w:ilvl w:val="0"/>
          <w:numId w:val="159"/>
        </w:numPr>
        <w:rPr>
          <w:rFonts w:ascii="Arial" w:cs="Arial" w:eastAsia="Arial" w:hAnsi="Arial"/>
          <w:sz w:val="14"/>
          <w:szCs w:val="14"/>
          <w:color w:val="auto"/>
        </w:rPr>
      </w:pPr>
      <w:r>
        <w:rPr>
          <w:rFonts w:ascii="Arial" w:cs="Arial" w:eastAsia="Arial" w:hAnsi="Arial"/>
          <w:sz w:val="14"/>
          <w:szCs w:val="14"/>
          <w:i w:val="1"/>
          <w:iCs w:val="1"/>
          <w:color w:val="auto"/>
        </w:rPr>
        <w:t xml:space="preserve">Clear Market. </w:t>
      </w:r>
      <w:r>
        <w:rPr>
          <w:rFonts w:ascii="Arial" w:cs="Arial" w:eastAsia="Arial" w:hAnsi="Arial"/>
          <w:sz w:val="14"/>
          <w:szCs w:val="14"/>
          <w:color w:val="auto"/>
        </w:rPr>
        <w:t>For a period of 180 days after the date of the Prospectus (the “Restricted Period”), the Company will not (i) offer, pledge, sell, contract to sell, sell any</w:t>
      </w:r>
      <w:r>
        <w:rPr>
          <w:rFonts w:ascii="Arial" w:cs="Arial" w:eastAsia="Arial" w:hAnsi="Arial"/>
          <w:sz w:val="14"/>
          <w:szCs w:val="14"/>
          <w:i w:val="1"/>
          <w:iCs w:val="1"/>
          <w:color w:val="auto"/>
        </w:rPr>
        <w:t xml:space="preserve"> </w:t>
      </w:r>
      <w:r>
        <w:rPr>
          <w:rFonts w:ascii="Arial" w:cs="Arial" w:eastAsia="Arial" w:hAnsi="Arial"/>
          <w:sz w:val="14"/>
          <w:szCs w:val="14"/>
          <w:color w:val="auto"/>
        </w:rPr>
        <w:t>option or contract to purchase, purchase any option or contract to sell, grant any</w:t>
      </w:r>
    </w:p>
    <w:p>
      <w:pPr>
        <w:spacing w:after="0" w:line="30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302" w:name="page303"/>
    <w:bookmarkEnd w:id="302"/>
    <w:p>
      <w:pPr>
        <w:ind w:right="200"/>
        <w:spacing w:after="0" w:line="282" w:lineRule="auto"/>
        <w:rPr>
          <w:sz w:val="20"/>
          <w:szCs w:val="20"/>
          <w:color w:val="auto"/>
        </w:rPr>
      </w:pPr>
      <w:r>
        <w:rPr>
          <w:rFonts w:ascii="Arial" w:cs="Arial" w:eastAsia="Arial" w:hAnsi="Arial"/>
          <w:sz w:val="13"/>
          <w:szCs w:val="13"/>
          <w:color w:val="auto"/>
        </w:rPr>
        <w:t>option, right or warrant to purchase, lend or otherwise transfer or dispose of, directly or indirectly, or file with, or submit to, the Commission a registration statement under the Securities Act relating to, any shares of Stock or any securities convertible into or exercisable or exchangeable for Stock, or publicly disclose the intention to undertake any of the foregoing, or</w:t>
      </w:r>
    </w:p>
    <w:p>
      <w:pPr>
        <w:spacing w:after="0" w:line="1" w:lineRule="exact"/>
        <w:rPr>
          <w:sz w:val="20"/>
          <w:szCs w:val="20"/>
          <w:color w:val="auto"/>
        </w:rPr>
      </w:pPr>
    </w:p>
    <w:p>
      <w:pPr>
        <w:spacing w:after="0" w:line="277" w:lineRule="auto"/>
        <w:tabs>
          <w:tab w:leader="none" w:pos="21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provided, however, that the foregoing restrictions shall not apply to (1) the Shares to be sold hereunder, (2) any shares of Stock issued upon the conversion of convertible preferred stock described in the Registration Statement, the Pricing Disclosure Package and the Prospectus outstanding on the date of this Agreement in connection with the offering contemplated by this Agreement, (3) the grant or issuance of any shares of Stock or any securities or other awards (including without limitation options, restricted stock or restricted stock units) convertible into, exercisable for, or that represent the right to receive, shares of Stock pursuant to any Company Stock Plan or otherwise in equity compensation arrangements described in the Registration Statement, the Pricing Disclosure Package and the Prospectus, (4) any shares of Stock issued upon the conversion, exercise (whether such exercise is for cash or “cashless”) or exchange of convertible, exercisable or exchangeable securities, including warrants, outstanding on the date of this Agreement and described in the Registration Statement, the Pricing Disclosure Package and the Prospectus, (5) the filing by the Company of any registration statement on Form S-8 or a successor form thereto relating to any Company Stock Plan described in the Registration Statement, the Pricing Disclosure Package and the Prospectus and (6) any shares of Stock or any securities convertible into or exchangeable for, or that represent the right to receive, shares of Stock issued in connection with any bona fide licensing, commercialization, joint venture, technology transfer, acquisition, development collaboration or other strategic transaction, provided that the aggregate number of shares of Common Stock or securities convertible into or exercisable for Common Stock (on an as-converted or as-exercised basis, as the case may be) that the Company may sell or issue or agree to sell or issue as described in this clause (6) shall not exceed 5% of the total number of shares of Common Stock issued and outstanding immediately following the completion of the transactions contemplated by this Agreement; provided that the recipient of any such shares of Stock or securities issued pursuant to clauses (2), (3), (4) and (6) during the Restricted Period shall enter into a “lock-up” agreement, substantially in the form of Exhibit B.</w:t>
      </w:r>
    </w:p>
    <w:p>
      <w:pPr>
        <w:spacing w:after="0" w:line="144" w:lineRule="exact"/>
        <w:rPr>
          <w:sz w:val="20"/>
          <w:szCs w:val="20"/>
          <w:color w:val="auto"/>
        </w:rPr>
      </w:pPr>
    </w:p>
    <w:p>
      <w:pPr>
        <w:ind w:right="20" w:firstLine="1028"/>
        <w:spacing w:after="0" w:line="265" w:lineRule="auto"/>
        <w:rPr>
          <w:sz w:val="20"/>
          <w:szCs w:val="20"/>
          <w:color w:val="auto"/>
        </w:rPr>
      </w:pPr>
      <w:r>
        <w:rPr>
          <w:rFonts w:ascii="Arial" w:cs="Arial" w:eastAsia="Arial" w:hAnsi="Arial"/>
          <w:sz w:val="14"/>
          <w:szCs w:val="14"/>
          <w:color w:val="auto"/>
        </w:rPr>
        <w:t>If the Representatives, in their sole discretion, agree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press release substantially in the form of Exhibit C hereto through a major news service at least two business days before the effective date of the release or waiver.</w:t>
      </w:r>
    </w:p>
    <w:p>
      <w:pPr>
        <w:spacing w:after="0" w:line="317"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303" w:name="page304"/>
    <w:bookmarkEnd w:id="303"/>
    <w:p>
      <w:pPr>
        <w:ind w:right="320" w:firstLine="514"/>
        <w:spacing w:after="0" w:line="285" w:lineRule="auto"/>
        <w:tabs>
          <w:tab w:leader="none" w:pos="1255"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Use of Proceeds. </w:t>
      </w:r>
      <w:r>
        <w:rPr>
          <w:rFonts w:ascii="Arial" w:cs="Arial" w:eastAsia="Arial" w:hAnsi="Arial"/>
          <w:sz w:val="14"/>
          <w:szCs w:val="14"/>
          <w:color w:val="auto"/>
        </w:rPr>
        <w:t>The Company will apply the net proceeds from the sale of the Shares as described in each of the Registration Statement, the Pricing Disclosure</w:t>
      </w:r>
      <w:r>
        <w:rPr>
          <w:rFonts w:ascii="Arial" w:cs="Arial" w:eastAsia="Arial" w:hAnsi="Arial"/>
          <w:sz w:val="14"/>
          <w:szCs w:val="14"/>
          <w:i w:val="1"/>
          <w:iCs w:val="1"/>
          <w:color w:val="auto"/>
        </w:rPr>
        <w:t xml:space="preserve"> </w:t>
      </w:r>
      <w:r>
        <w:rPr>
          <w:rFonts w:ascii="Arial" w:cs="Arial" w:eastAsia="Arial" w:hAnsi="Arial"/>
          <w:sz w:val="14"/>
          <w:szCs w:val="14"/>
          <w:color w:val="auto"/>
        </w:rPr>
        <w:t>Package and the Prospectus under the heading “Use of proceeds”.</w:t>
      </w:r>
    </w:p>
    <w:p>
      <w:pPr>
        <w:spacing w:after="0" w:line="131" w:lineRule="exact"/>
        <w:rPr>
          <w:rFonts w:ascii="Arial" w:cs="Arial" w:eastAsia="Arial" w:hAnsi="Arial"/>
          <w:sz w:val="14"/>
          <w:szCs w:val="14"/>
          <w:color w:val="auto"/>
        </w:rPr>
      </w:pPr>
    </w:p>
    <w:p>
      <w:pPr>
        <w:ind w:right="280" w:firstLine="514"/>
        <w:spacing w:after="0" w:line="285" w:lineRule="auto"/>
        <w:tabs>
          <w:tab w:leader="none" w:pos="1255"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No Stabilization. </w:t>
      </w:r>
      <w:r>
        <w:rPr>
          <w:rFonts w:ascii="Arial" w:cs="Arial" w:eastAsia="Arial" w:hAnsi="Arial"/>
          <w:sz w:val="14"/>
          <w:szCs w:val="14"/>
          <w:color w:val="auto"/>
        </w:rPr>
        <w:t>Neither the Company nor its subsidiaries or affiliates will take, directly or indirectly, without giving effect to activities by the Underwriters, any</w:t>
      </w:r>
      <w:r>
        <w:rPr>
          <w:rFonts w:ascii="Arial" w:cs="Arial" w:eastAsia="Arial" w:hAnsi="Arial"/>
          <w:sz w:val="14"/>
          <w:szCs w:val="14"/>
          <w:i w:val="1"/>
          <w:iCs w:val="1"/>
          <w:color w:val="auto"/>
        </w:rPr>
        <w:t xml:space="preserve"> </w:t>
      </w:r>
      <w:r>
        <w:rPr>
          <w:rFonts w:ascii="Arial" w:cs="Arial" w:eastAsia="Arial" w:hAnsi="Arial"/>
          <w:sz w:val="14"/>
          <w:szCs w:val="14"/>
          <w:color w:val="auto"/>
        </w:rPr>
        <w:t>action designed to or that could reasonably be expected to cause or result in any stabilization or manipulation of the price of the Stock.</w:t>
      </w:r>
    </w:p>
    <w:p>
      <w:pPr>
        <w:spacing w:after="0" w:line="131" w:lineRule="exact"/>
        <w:rPr>
          <w:rFonts w:ascii="Arial" w:cs="Arial" w:eastAsia="Arial" w:hAnsi="Arial"/>
          <w:sz w:val="14"/>
          <w:szCs w:val="14"/>
          <w:color w:val="auto"/>
        </w:rPr>
      </w:pPr>
    </w:p>
    <w:p>
      <w:pPr>
        <w:ind w:left="1220" w:hanging="706"/>
        <w:spacing w:after="0"/>
        <w:tabs>
          <w:tab w:leader="none" w:pos="1220"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Exchange Listing. </w:t>
      </w:r>
      <w:r>
        <w:rPr>
          <w:rFonts w:ascii="Arial" w:cs="Arial" w:eastAsia="Arial" w:hAnsi="Arial"/>
          <w:sz w:val="14"/>
          <w:szCs w:val="14"/>
          <w:color w:val="auto"/>
        </w:rPr>
        <w:t>The Company will use its reasonable best efforts to list for quotation the Shares on the Nasdaq Global Market (the “Nasdaq”).</w:t>
      </w:r>
    </w:p>
    <w:p>
      <w:pPr>
        <w:spacing w:after="0" w:line="181" w:lineRule="exact"/>
        <w:rPr>
          <w:rFonts w:ascii="Arial" w:cs="Arial" w:eastAsia="Arial" w:hAnsi="Arial"/>
          <w:sz w:val="14"/>
          <w:szCs w:val="14"/>
          <w:color w:val="auto"/>
        </w:rPr>
      </w:pPr>
    </w:p>
    <w:p>
      <w:pPr>
        <w:ind w:firstLine="514"/>
        <w:spacing w:after="0" w:line="265" w:lineRule="auto"/>
        <w:tabs>
          <w:tab w:leader="none" w:pos="1255"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Reports. </w:t>
      </w:r>
      <w:r>
        <w:rPr>
          <w:rFonts w:ascii="Arial" w:cs="Arial" w:eastAsia="Arial" w:hAnsi="Arial"/>
          <w:sz w:val="14"/>
          <w:szCs w:val="14"/>
          <w:color w:val="auto"/>
        </w:rPr>
        <w:t>During a period of three years from the effective date of the Registration Statement, the Company will furnish to the Representatives, as soon 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the Company will be deemed to have furnished such reports and financial statements to the Representatives to the extent they are filed on EDGAR.</w:t>
      </w:r>
    </w:p>
    <w:p>
      <w:pPr>
        <w:spacing w:after="0" w:line="145" w:lineRule="exact"/>
        <w:rPr>
          <w:rFonts w:ascii="Arial" w:cs="Arial" w:eastAsia="Arial" w:hAnsi="Arial"/>
          <w:sz w:val="14"/>
          <w:szCs w:val="14"/>
          <w:color w:val="auto"/>
        </w:rPr>
      </w:pPr>
    </w:p>
    <w:p>
      <w:pPr>
        <w:ind w:right="80" w:firstLine="514"/>
        <w:spacing w:after="0" w:line="285" w:lineRule="auto"/>
        <w:tabs>
          <w:tab w:leader="none" w:pos="1184"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Record Retention</w:t>
      </w:r>
      <w:r>
        <w:rPr>
          <w:rFonts w:ascii="Arial" w:cs="Arial" w:eastAsia="Arial" w:hAnsi="Arial"/>
          <w:sz w:val="14"/>
          <w:szCs w:val="14"/>
          <w:color w:val="auto"/>
        </w:rPr>
        <w:t>. The Company will, pursuant to reasonable procedures developed in good faith, retain copies of each Issuer Free Writing Prospectus that is not filed</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Commission in accordance with Rule 433 under the Securities Act.</w:t>
      </w:r>
    </w:p>
    <w:p>
      <w:pPr>
        <w:spacing w:after="0" w:line="131" w:lineRule="exact"/>
        <w:rPr>
          <w:rFonts w:ascii="Arial" w:cs="Arial" w:eastAsia="Arial" w:hAnsi="Arial"/>
          <w:sz w:val="14"/>
          <w:szCs w:val="14"/>
          <w:color w:val="auto"/>
        </w:rPr>
      </w:pPr>
    </w:p>
    <w:p>
      <w:pPr>
        <w:ind w:left="1220" w:hanging="706"/>
        <w:spacing w:after="0"/>
        <w:tabs>
          <w:tab w:leader="none" w:pos="1220" w:val="left"/>
        </w:tabs>
        <w:numPr>
          <w:ilvl w:val="1"/>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Filings. </w:t>
      </w:r>
      <w:r>
        <w:rPr>
          <w:rFonts w:ascii="Arial" w:cs="Arial" w:eastAsia="Arial" w:hAnsi="Arial"/>
          <w:sz w:val="14"/>
          <w:szCs w:val="14"/>
          <w:color w:val="auto"/>
        </w:rPr>
        <w:t>The Company will file with the Commission such reports as may be required by Rule 463 under the Securities Act.</w:t>
      </w:r>
    </w:p>
    <w:p>
      <w:pPr>
        <w:spacing w:after="0" w:line="181" w:lineRule="exact"/>
        <w:rPr>
          <w:rFonts w:ascii="Arial" w:cs="Arial" w:eastAsia="Arial" w:hAnsi="Arial"/>
          <w:sz w:val="14"/>
          <w:szCs w:val="14"/>
          <w:color w:val="auto"/>
        </w:rPr>
      </w:pPr>
    </w:p>
    <w:p>
      <w:pPr>
        <w:ind w:right="100" w:firstLine="514"/>
        <w:spacing w:after="0" w:line="325" w:lineRule="auto"/>
        <w:tabs>
          <w:tab w:leader="none" w:pos="1216" w:val="left"/>
        </w:tabs>
        <w:numPr>
          <w:ilvl w:val="1"/>
          <w:numId w:val="161"/>
        </w:numPr>
        <w:rPr>
          <w:rFonts w:ascii="Arial" w:cs="Arial" w:eastAsia="Arial" w:hAnsi="Arial"/>
          <w:sz w:val="13"/>
          <w:szCs w:val="13"/>
          <w:color w:val="auto"/>
        </w:rPr>
      </w:pPr>
      <w:r>
        <w:rPr>
          <w:rFonts w:ascii="Arial" w:cs="Arial" w:eastAsia="Arial" w:hAnsi="Arial"/>
          <w:sz w:val="13"/>
          <w:szCs w:val="13"/>
          <w:i w:val="1"/>
          <w:iCs w:val="1"/>
          <w:color w:val="auto"/>
        </w:rPr>
        <w:t>Emerging Growth Company</w:t>
      </w:r>
      <w:r>
        <w:rPr>
          <w:rFonts w:ascii="Arial" w:cs="Arial" w:eastAsia="Arial" w:hAnsi="Arial"/>
          <w:sz w:val="13"/>
          <w:szCs w:val="13"/>
          <w:color w:val="auto"/>
        </w:rPr>
        <w:t>. The Company will promptly notify the Representatives if the Company ceases to be an Emerging Growth Company at any time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the later of (i) completion of the distribution of Shares within the meaning of the Securities Act and (ii) completion of the 180-day restricted period referred to in Section 4(h) hereof.</w:t>
      </w:r>
    </w:p>
    <w:p>
      <w:pPr>
        <w:spacing w:after="0" w:line="109" w:lineRule="exact"/>
        <w:rPr>
          <w:rFonts w:ascii="Arial" w:cs="Arial" w:eastAsia="Arial" w:hAnsi="Arial"/>
          <w:sz w:val="13"/>
          <w:szCs w:val="13"/>
          <w:color w:val="auto"/>
        </w:rPr>
      </w:pPr>
    </w:p>
    <w:p>
      <w:pPr>
        <w:ind w:left="740" w:hanging="740"/>
        <w:spacing w:after="0"/>
        <w:tabs>
          <w:tab w:leader="none" w:pos="74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Certain Agreements of the Underwriters</w:t>
      </w:r>
      <w:r>
        <w:rPr>
          <w:rFonts w:ascii="Arial" w:cs="Arial" w:eastAsia="Arial" w:hAnsi="Arial"/>
          <w:sz w:val="14"/>
          <w:szCs w:val="14"/>
          <w:color w:val="auto"/>
        </w:rPr>
        <w:t>. Each Underwriter hereby represents and agrees that:</w:t>
      </w:r>
    </w:p>
    <w:p>
      <w:pPr>
        <w:spacing w:after="0" w:line="181" w:lineRule="exact"/>
        <w:rPr>
          <w:rFonts w:ascii="Arial" w:cs="Arial" w:eastAsia="Arial" w:hAnsi="Arial"/>
          <w:sz w:val="14"/>
          <w:szCs w:val="14"/>
          <w:color w:val="auto"/>
        </w:rPr>
      </w:pPr>
    </w:p>
    <w:p>
      <w:pPr>
        <w:ind w:right="20" w:firstLine="514"/>
        <w:spacing w:after="0" w:line="262" w:lineRule="auto"/>
        <w:tabs>
          <w:tab w:leader="none" w:pos="1208" w:val="left"/>
        </w:tabs>
        <w:numPr>
          <w:ilvl w:val="1"/>
          <w:numId w:val="162"/>
        </w:numPr>
        <w:rPr>
          <w:rFonts w:ascii="Arial" w:cs="Arial" w:eastAsia="Arial" w:hAnsi="Arial"/>
          <w:sz w:val="14"/>
          <w:szCs w:val="14"/>
          <w:color w:val="auto"/>
        </w:rPr>
      </w:pPr>
      <w:r>
        <w:rPr>
          <w:rFonts w:ascii="Arial" w:cs="Arial" w:eastAsia="Arial" w:hAnsi="Arial"/>
          <w:sz w:val="14"/>
          <w:szCs w:val="14"/>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w:t>
      </w:r>
    </w:p>
    <w:p>
      <w:pPr>
        <w:spacing w:after="0" w:line="32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40"/>
          </w:cols>
          <w:pgMar w:left="820" w:top="750" w:right="339" w:bottom="1440" w:gutter="0" w:footer="0" w:header="0"/>
        </w:sectPr>
      </w:pPr>
    </w:p>
    <w:bookmarkStart w:id="304" w:name="page305"/>
    <w:bookmarkEnd w:id="304"/>
    <w:p>
      <w:pPr>
        <w:ind w:left="500" w:right="300"/>
        <w:spacing w:after="0" w:line="285" w:lineRule="auto"/>
        <w:rPr>
          <w:sz w:val="20"/>
          <w:szCs w:val="20"/>
          <w:color w:val="auto"/>
        </w:rPr>
      </w:pPr>
      <w:r>
        <w:rPr>
          <w:rFonts w:ascii="Arial" w:cs="Arial" w:eastAsia="Arial" w:hAnsi="Arial"/>
          <w:sz w:val="14"/>
          <w:szCs w:val="14"/>
          <w:color w:val="auto"/>
        </w:rPr>
        <w:t>prospectus prepared by such underwriter and approved by the Company in advance in writing (each such free writing prospectus referred to in clauses (i) or (iii), an “Underwriter Free Writing Prospectus”).</w:t>
      </w:r>
    </w:p>
    <w:p>
      <w:pPr>
        <w:spacing w:after="0" w:line="132" w:lineRule="exact"/>
        <w:rPr>
          <w:sz w:val="20"/>
          <w:szCs w:val="20"/>
          <w:color w:val="auto"/>
        </w:rPr>
      </w:pPr>
    </w:p>
    <w:p>
      <w:pPr>
        <w:ind w:left="500" w:firstLine="514"/>
        <w:spacing w:after="0" w:line="265" w:lineRule="auto"/>
        <w:tabs>
          <w:tab w:leader="none" w:pos="1715" w:val="left"/>
        </w:tabs>
        <w:numPr>
          <w:ilvl w:val="1"/>
          <w:numId w:val="163"/>
        </w:numPr>
        <w:rPr>
          <w:rFonts w:ascii="Arial" w:cs="Arial" w:eastAsia="Arial" w:hAnsi="Arial"/>
          <w:sz w:val="14"/>
          <w:szCs w:val="14"/>
          <w:color w:val="auto"/>
        </w:rPr>
      </w:pPr>
      <w:r>
        <w:rPr>
          <w:rFonts w:ascii="Arial" w:cs="Arial" w:eastAsia="Arial" w:hAnsi="Arial"/>
          <w:sz w:val="14"/>
          <w:szCs w:val="14"/>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Underwriters may use a term sheet substantially in the form of Annex C hereto without the consent of the Company;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Underwriter using such term sheet shall notify the Company, and provide a copy of such term sheet to the Company, prior to, or substantially concurrently with, the first use of such term sheet.</w:t>
      </w:r>
    </w:p>
    <w:p>
      <w:pPr>
        <w:spacing w:after="0" w:line="145" w:lineRule="exact"/>
        <w:rPr>
          <w:rFonts w:ascii="Arial" w:cs="Arial" w:eastAsia="Arial" w:hAnsi="Arial"/>
          <w:sz w:val="14"/>
          <w:szCs w:val="14"/>
          <w:color w:val="auto"/>
        </w:rPr>
      </w:pPr>
    </w:p>
    <w:p>
      <w:pPr>
        <w:ind w:left="500" w:right="340" w:firstLine="514"/>
        <w:spacing w:after="0" w:line="285" w:lineRule="auto"/>
        <w:tabs>
          <w:tab w:leader="none" w:pos="1707" w:val="left"/>
        </w:tabs>
        <w:numPr>
          <w:ilvl w:val="1"/>
          <w:numId w:val="163"/>
        </w:numPr>
        <w:rPr>
          <w:rFonts w:ascii="Arial" w:cs="Arial" w:eastAsia="Arial" w:hAnsi="Arial"/>
          <w:sz w:val="14"/>
          <w:szCs w:val="14"/>
          <w:color w:val="auto"/>
        </w:rPr>
      </w:pPr>
      <w:r>
        <w:rPr>
          <w:rFonts w:ascii="Arial" w:cs="Arial" w:eastAsia="Arial" w:hAnsi="Arial"/>
          <w:sz w:val="14"/>
          <w:szCs w:val="14"/>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31" w:lineRule="exact"/>
        <w:rPr>
          <w:rFonts w:ascii="Arial" w:cs="Arial" w:eastAsia="Arial" w:hAnsi="Arial"/>
          <w:sz w:val="14"/>
          <w:szCs w:val="14"/>
          <w:color w:val="auto"/>
        </w:rPr>
      </w:pPr>
    </w:p>
    <w:p>
      <w:pPr>
        <w:ind w:left="-20" w:right="40" w:firstLine="520"/>
        <w:spacing w:after="0" w:line="325" w:lineRule="auto"/>
        <w:tabs>
          <w:tab w:leader="none" w:pos="1243"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Conditions of Underwriters’ Obligations.</w:t>
      </w:r>
      <w:r>
        <w:rPr>
          <w:rFonts w:ascii="Arial" w:cs="Arial" w:eastAsia="Arial" w:hAnsi="Arial"/>
          <w:sz w:val="13"/>
          <w:szCs w:val="13"/>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09" w:lineRule="exact"/>
        <w:rPr>
          <w:rFonts w:ascii="Arial" w:cs="Arial" w:eastAsia="Arial" w:hAnsi="Arial"/>
          <w:sz w:val="13"/>
          <w:szCs w:val="13"/>
          <w:color w:val="auto"/>
        </w:rPr>
      </w:pPr>
    </w:p>
    <w:p>
      <w:pPr>
        <w:ind w:left="500" w:firstLine="514"/>
        <w:spacing w:after="0" w:line="292" w:lineRule="auto"/>
        <w:tabs>
          <w:tab w:leader="none" w:pos="1707" w:val="left"/>
        </w:tabs>
        <w:numPr>
          <w:ilvl w:val="1"/>
          <w:numId w:val="164"/>
        </w:numPr>
        <w:rPr>
          <w:rFonts w:ascii="Arial" w:cs="Arial" w:eastAsia="Arial" w:hAnsi="Arial"/>
          <w:sz w:val="13"/>
          <w:szCs w:val="13"/>
          <w:color w:val="auto"/>
        </w:rPr>
      </w:pPr>
      <w:r>
        <w:rPr>
          <w:rFonts w:ascii="Arial" w:cs="Arial" w:eastAsia="Arial" w:hAnsi="Arial"/>
          <w:sz w:val="13"/>
          <w:szCs w:val="13"/>
          <w:i w:val="1"/>
          <w:iCs w:val="1"/>
          <w:color w:val="auto"/>
        </w:rPr>
        <w:t xml:space="preserve">Registration Compliance; No Stop Order. </w:t>
      </w:r>
      <w:r>
        <w:rPr>
          <w:rFonts w:ascii="Arial" w:cs="Arial" w:eastAsia="Arial" w:hAnsi="Arial"/>
          <w:sz w:val="13"/>
          <w:szCs w:val="13"/>
          <w:color w:val="auto"/>
        </w:rPr>
        <w:t>No order suspending the effectiveness of the Registration Statement shall be in effect, and no proceeding for such purpose or</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29" w:lineRule="exact"/>
        <w:rPr>
          <w:rFonts w:ascii="Arial" w:cs="Arial" w:eastAsia="Arial" w:hAnsi="Arial"/>
          <w:sz w:val="13"/>
          <w:szCs w:val="13"/>
          <w:color w:val="auto"/>
        </w:rPr>
      </w:pPr>
    </w:p>
    <w:p>
      <w:pPr>
        <w:jc w:val="both"/>
        <w:ind w:left="500" w:right="40" w:firstLine="514"/>
        <w:spacing w:after="0" w:line="270" w:lineRule="auto"/>
        <w:tabs>
          <w:tab w:leader="none" w:pos="1715" w:val="left"/>
        </w:tabs>
        <w:numPr>
          <w:ilvl w:val="1"/>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Representations and Warranties. </w:t>
      </w:r>
      <w:r>
        <w:rPr>
          <w:rFonts w:ascii="Arial" w:cs="Arial" w:eastAsia="Arial" w:hAnsi="Arial"/>
          <w:sz w:val="14"/>
          <w:szCs w:val="14"/>
          <w:color w:val="auto"/>
        </w:rPr>
        <w:t>The representations and warranties of the Company contained herein shall be true and correct on the date hereof and on and as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42" w:lineRule="exact"/>
        <w:rPr>
          <w:rFonts w:ascii="Arial" w:cs="Arial" w:eastAsia="Arial" w:hAnsi="Arial"/>
          <w:sz w:val="14"/>
          <w:szCs w:val="14"/>
          <w:color w:val="auto"/>
        </w:rPr>
      </w:pPr>
    </w:p>
    <w:p>
      <w:pPr>
        <w:ind w:left="500" w:right="320" w:firstLine="514"/>
        <w:spacing w:after="0" w:line="300" w:lineRule="auto"/>
        <w:tabs>
          <w:tab w:leader="none" w:pos="1707" w:val="left"/>
        </w:tabs>
        <w:numPr>
          <w:ilvl w:val="1"/>
          <w:numId w:val="164"/>
        </w:numPr>
        <w:rPr>
          <w:rFonts w:ascii="Arial" w:cs="Arial" w:eastAsia="Arial" w:hAnsi="Arial"/>
          <w:sz w:val="13"/>
          <w:szCs w:val="13"/>
          <w:color w:val="auto"/>
        </w:rPr>
      </w:pPr>
      <w:r>
        <w:rPr>
          <w:rFonts w:ascii="Arial" w:cs="Arial" w:eastAsia="Arial" w:hAnsi="Arial"/>
          <w:sz w:val="13"/>
          <w:szCs w:val="13"/>
          <w:i w:val="1"/>
          <w:iCs w:val="1"/>
          <w:color w:val="auto"/>
        </w:rPr>
        <w:t xml:space="preserve">No Material Adverse Change. </w:t>
      </w:r>
      <w:r>
        <w:rPr>
          <w:rFonts w:ascii="Arial" w:cs="Arial" w:eastAsia="Arial" w:hAnsi="Arial"/>
          <w:sz w:val="13"/>
          <w:szCs w:val="13"/>
          <w:color w:val="auto"/>
        </w:rPr>
        <w:t>No event or condition of a type described in Section 3(h) hereof shall have occurred or shall exist, which event or condition is not</w:t>
      </w:r>
      <w:r>
        <w:rPr>
          <w:rFonts w:ascii="Arial" w:cs="Arial" w:eastAsia="Arial" w:hAnsi="Arial"/>
          <w:sz w:val="13"/>
          <w:szCs w:val="13"/>
          <w:i w:val="1"/>
          <w:iCs w:val="1"/>
          <w:color w:val="auto"/>
        </w:rPr>
        <w:t xml:space="preserve"> </w:t>
      </w:r>
      <w:r>
        <w:rPr>
          <w:rFonts w:ascii="Arial" w:cs="Arial" w:eastAsia="Arial" w:hAnsi="Arial"/>
          <w:sz w:val="13"/>
          <w:szCs w:val="13"/>
          <w:color w:val="auto"/>
        </w:rPr>
        <w:t>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716089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05" w:name="page306"/>
    <w:bookmarkEnd w:id="305"/>
    <w:p>
      <w:pPr>
        <w:spacing w:after="0"/>
        <w:rPr>
          <w:sz w:val="20"/>
          <w:szCs w:val="20"/>
          <w:color w:val="auto"/>
        </w:rPr>
      </w:pPr>
      <w:r>
        <w:rPr>
          <w:rFonts w:ascii="Arial" w:cs="Arial" w:eastAsia="Arial" w:hAnsi="Arial"/>
          <w:sz w:val="13"/>
          <w:szCs w:val="13"/>
          <w:color w:val="auto"/>
        </w:rPr>
        <w:t>Date or the Additional Closing Date, as the case may be, on the terms and in the manner contemplated by this Agreement, the Pricing Disclosure Package and the Prospectus.</w:t>
      </w:r>
    </w:p>
    <w:p>
      <w:pPr>
        <w:spacing w:after="0" w:line="193" w:lineRule="exact"/>
        <w:rPr>
          <w:sz w:val="20"/>
          <w:szCs w:val="20"/>
          <w:color w:val="auto"/>
        </w:rPr>
      </w:pPr>
    </w:p>
    <w:p>
      <w:pPr>
        <w:ind w:firstLine="514"/>
        <w:spacing w:after="0" w:line="261" w:lineRule="auto"/>
        <w:tabs>
          <w:tab w:leader="none" w:pos="1215" w:val="left"/>
        </w:tabs>
        <w:numPr>
          <w:ilvl w:val="0"/>
          <w:numId w:val="165"/>
        </w:numPr>
        <w:rPr>
          <w:rFonts w:ascii="Arial" w:cs="Arial" w:eastAsia="Arial" w:hAnsi="Arial"/>
          <w:sz w:val="14"/>
          <w:szCs w:val="14"/>
          <w:color w:val="auto"/>
        </w:rPr>
      </w:pPr>
      <w:r>
        <w:rPr>
          <w:rFonts w:ascii="Arial" w:cs="Arial" w:eastAsia="Arial" w:hAnsi="Arial"/>
          <w:sz w:val="14"/>
          <w:szCs w:val="14"/>
          <w:i w:val="1"/>
          <w:iCs w:val="1"/>
          <w:color w:val="auto"/>
        </w:rPr>
        <w:t xml:space="preserve">Officer’s Certificate. </w:t>
      </w:r>
      <w:r>
        <w:rPr>
          <w:rFonts w:ascii="Arial" w:cs="Arial" w:eastAsia="Arial" w:hAnsi="Arial"/>
          <w:sz w:val="14"/>
          <w:szCs w:val="14"/>
          <w:color w:val="auto"/>
        </w:rPr>
        <w:t>The Representatives shall have received on and as of the Closing Date or the Additional Closing Date, as the case may be, a certificate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principal financial or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148" w:lineRule="exact"/>
        <w:rPr>
          <w:rFonts w:ascii="Arial" w:cs="Arial" w:eastAsia="Arial" w:hAnsi="Arial"/>
          <w:sz w:val="14"/>
          <w:szCs w:val="14"/>
          <w:color w:val="auto"/>
        </w:rPr>
      </w:pPr>
    </w:p>
    <w:p>
      <w:pPr>
        <w:ind w:right="20" w:firstLine="514"/>
        <w:spacing w:after="0" w:line="261" w:lineRule="auto"/>
        <w:tabs>
          <w:tab w:leader="none" w:pos="1207" w:val="left"/>
        </w:tabs>
        <w:numPr>
          <w:ilvl w:val="0"/>
          <w:numId w:val="165"/>
        </w:numPr>
        <w:rPr>
          <w:rFonts w:ascii="Arial" w:cs="Arial" w:eastAsia="Arial" w:hAnsi="Arial"/>
          <w:sz w:val="14"/>
          <w:szCs w:val="14"/>
          <w:color w:val="auto"/>
        </w:rPr>
      </w:pPr>
      <w:r>
        <w:rPr>
          <w:rFonts w:ascii="Arial" w:cs="Arial" w:eastAsia="Arial" w:hAnsi="Arial"/>
          <w:sz w:val="14"/>
          <w:szCs w:val="14"/>
          <w:i w:val="1"/>
          <w:iCs w:val="1"/>
          <w:color w:val="auto"/>
        </w:rPr>
        <w:t xml:space="preserve">Comfort Letters. </w:t>
      </w:r>
      <w:r>
        <w:rPr>
          <w:rFonts w:ascii="Arial" w:cs="Arial" w:eastAsia="Arial" w:hAnsi="Arial"/>
          <w:sz w:val="14"/>
          <w:szCs w:val="14"/>
          <w:color w:val="auto"/>
        </w:rPr>
        <w:t>(i) On the date of this Agreement and on the Closing Date or the Additional Closing Date, as the case may be, Ernst &amp; Young LLP shall have</w:t>
      </w:r>
      <w:r>
        <w:rPr>
          <w:rFonts w:ascii="Arial" w:cs="Arial" w:eastAsia="Arial" w:hAnsi="Arial"/>
          <w:sz w:val="14"/>
          <w:szCs w:val="14"/>
          <w:i w:val="1"/>
          <w:iCs w:val="1"/>
          <w:color w:val="auto"/>
        </w:rPr>
        <w:t xml:space="preserve"> </w:t>
      </w:r>
      <w:r>
        <w:rPr>
          <w:rFonts w:ascii="Arial" w:cs="Arial" w:eastAsia="Arial" w:hAnsi="Arial"/>
          <w:sz w:val="14"/>
          <w:szCs w:val="14"/>
          <w:color w:val="auto"/>
        </w:rPr>
        <w:t>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49" w:lineRule="exact"/>
        <w:rPr>
          <w:sz w:val="20"/>
          <w:szCs w:val="20"/>
          <w:color w:val="auto"/>
        </w:rPr>
      </w:pPr>
    </w:p>
    <w:p>
      <w:pPr>
        <w:ind w:right="40" w:firstLine="1028"/>
        <w:spacing w:after="0" w:line="265" w:lineRule="auto"/>
        <w:rPr>
          <w:sz w:val="20"/>
          <w:szCs w:val="20"/>
          <w:color w:val="auto"/>
        </w:rPr>
      </w:pPr>
      <w:r>
        <w:rPr>
          <w:rFonts w:ascii="Arial" w:cs="Arial" w:eastAsia="Arial" w:hAnsi="Arial"/>
          <w:sz w:val="14"/>
          <w:szCs w:val="14"/>
          <w:color w:val="auto"/>
        </w:rPr>
        <w:t>[(ii) On the date of this Agreement and on the Closing Date or the Additional Closing Date, as the case may be, the Company shall have furnished to the Representatives a certificate, dated the respective dates of delivery thereof and addressed to the Underwriters, of its principal financial or accounting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46" w:lineRule="exact"/>
        <w:rPr>
          <w:sz w:val="20"/>
          <w:szCs w:val="20"/>
          <w:color w:val="auto"/>
        </w:rPr>
      </w:pPr>
    </w:p>
    <w:p>
      <w:pPr>
        <w:ind w:right="120" w:firstLine="514"/>
        <w:spacing w:after="0" w:line="270" w:lineRule="auto"/>
        <w:tabs>
          <w:tab w:leader="none" w:pos="1227" w:val="left"/>
        </w:tabs>
        <w:numPr>
          <w:ilvl w:val="0"/>
          <w:numId w:val="166"/>
        </w:numPr>
        <w:rPr>
          <w:rFonts w:ascii="Arial" w:cs="Arial" w:eastAsia="Arial" w:hAnsi="Arial"/>
          <w:sz w:val="14"/>
          <w:szCs w:val="14"/>
          <w:color w:val="auto"/>
        </w:rPr>
      </w:pPr>
      <w:r>
        <w:rPr>
          <w:rFonts w:ascii="Arial" w:cs="Arial" w:eastAsia="Arial" w:hAnsi="Arial"/>
          <w:sz w:val="14"/>
          <w:szCs w:val="14"/>
          <w:i w:val="1"/>
          <w:iCs w:val="1"/>
          <w:color w:val="auto"/>
        </w:rPr>
        <w:t xml:space="preserve">Opinion and Negative Assurance Letter of Counsel for the Company. </w:t>
      </w:r>
      <w:r>
        <w:rPr>
          <w:rFonts w:ascii="Arial" w:cs="Arial" w:eastAsia="Arial" w:hAnsi="Arial"/>
          <w:sz w:val="14"/>
          <w:szCs w:val="14"/>
          <w:color w:val="auto"/>
        </w:rPr>
        <w:t>Troutman Pepper Hamilton Sanders LLP, counsel for the Company, shall have furnished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Representatives, at the request of the Company, their written opinion and negative assurance letter, dated the Closing Date or the Additional Closing Date, as the case may be, and addressed to the Underwriters, in form and substance reasonably satisfactory to the Representatives.</w:t>
      </w:r>
    </w:p>
    <w:p>
      <w:pPr>
        <w:spacing w:after="0" w:line="142" w:lineRule="exact"/>
        <w:rPr>
          <w:rFonts w:ascii="Arial" w:cs="Arial" w:eastAsia="Arial" w:hAnsi="Arial"/>
          <w:sz w:val="14"/>
          <w:szCs w:val="14"/>
          <w:color w:val="auto"/>
        </w:rPr>
      </w:pPr>
    </w:p>
    <w:p>
      <w:pPr>
        <w:ind w:right="60" w:firstLine="514"/>
        <w:spacing w:after="0" w:line="325" w:lineRule="auto"/>
        <w:tabs>
          <w:tab w:leader="none" w:pos="1215"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Opinion of Intellectual Property Counsel for the Company. </w:t>
      </w:r>
      <w:r>
        <w:rPr>
          <w:rFonts w:ascii="Arial" w:cs="Arial" w:eastAsia="Arial" w:hAnsi="Arial"/>
          <w:sz w:val="13"/>
          <w:szCs w:val="13"/>
          <w:color w:val="auto"/>
        </w:rPr>
        <w:t>Each of Troutman Pepper Hamilton Sanders LLP and Ice Miller LLP, intellectual property counsel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shall have furnished to the Representatives, at the request of the Company, their respective written opinions, dated the Closing Date or the Additional</w:t>
      </w:r>
    </w:p>
    <w:p>
      <w:pPr>
        <w:spacing w:after="0" w:line="28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89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20"/>
          </w:cols>
          <w:pgMar w:left="820" w:top="750" w:right="359" w:bottom="1440" w:gutter="0" w:footer="0" w:header="0"/>
        </w:sectPr>
      </w:pPr>
    </w:p>
    <w:bookmarkStart w:id="306" w:name="page307"/>
    <w:bookmarkEnd w:id="306"/>
    <w:p>
      <w:pPr>
        <w:ind w:left="520"/>
        <w:spacing w:after="0"/>
        <w:rPr>
          <w:sz w:val="20"/>
          <w:szCs w:val="20"/>
          <w:color w:val="auto"/>
        </w:rPr>
      </w:pPr>
      <w:r>
        <w:rPr>
          <w:rFonts w:ascii="Arial" w:cs="Arial" w:eastAsia="Arial" w:hAnsi="Arial"/>
          <w:sz w:val="14"/>
          <w:szCs w:val="14"/>
          <w:color w:val="auto"/>
        </w:rPr>
        <w:t>Closing Date, as the case may be, and addressed to the Underwriters, each in form and substance reasonably satisfactory to the Representatives.</w:t>
      </w:r>
    </w:p>
    <w:p>
      <w:pPr>
        <w:spacing w:after="0" w:line="182" w:lineRule="exact"/>
        <w:rPr>
          <w:sz w:val="20"/>
          <w:szCs w:val="20"/>
          <w:color w:val="auto"/>
        </w:rPr>
      </w:pPr>
    </w:p>
    <w:p>
      <w:pPr>
        <w:ind w:left="520" w:right="160" w:firstLine="514"/>
        <w:spacing w:after="0" w:line="265" w:lineRule="auto"/>
        <w:tabs>
          <w:tab w:leader="none" w:pos="1735"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Opinion and Negative Assurance Letter of Counsel for the Underwriters. </w:t>
      </w:r>
      <w:r>
        <w:rPr>
          <w:rFonts w:ascii="Arial" w:cs="Arial" w:eastAsia="Arial" w:hAnsi="Arial"/>
          <w:sz w:val="14"/>
          <w:szCs w:val="14"/>
          <w:color w:val="auto"/>
        </w:rPr>
        <w:t>The Representatives shall have received on and as of the Closing Date or the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Closing Date, as the case may be, an opinion and negative assurance letter,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45" w:lineRule="exact"/>
        <w:rPr>
          <w:rFonts w:ascii="Arial" w:cs="Arial" w:eastAsia="Arial" w:hAnsi="Arial"/>
          <w:sz w:val="14"/>
          <w:szCs w:val="14"/>
          <w:color w:val="auto"/>
        </w:rPr>
      </w:pPr>
    </w:p>
    <w:p>
      <w:pPr>
        <w:ind w:left="520" w:firstLine="514"/>
        <w:spacing w:after="0" w:line="265" w:lineRule="auto"/>
        <w:tabs>
          <w:tab w:leader="none" w:pos="1775"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No Legal Impediment to Issuance and Sale. </w:t>
      </w:r>
      <w:r>
        <w:rPr>
          <w:rFonts w:ascii="Arial" w:cs="Arial" w:eastAsia="Arial" w:hAnsi="Arial"/>
          <w:sz w:val="14"/>
          <w:szCs w:val="14"/>
          <w:color w:val="auto"/>
        </w:rPr>
        <w:t>No action shall have been taken and no statute, rule, regulation or order shall have been enacted, adopted or issued by any</w:t>
      </w:r>
      <w:r>
        <w:rPr>
          <w:rFonts w:ascii="Arial" w:cs="Arial" w:eastAsia="Arial" w:hAnsi="Arial"/>
          <w:sz w:val="14"/>
          <w:szCs w:val="14"/>
          <w:i w:val="1"/>
          <w:iCs w:val="1"/>
          <w:color w:val="auto"/>
        </w:rPr>
        <w:t xml:space="preserve"> </w:t>
      </w:r>
      <w:r>
        <w:rPr>
          <w:rFonts w:ascii="Arial" w:cs="Arial" w:eastAsia="Arial" w:hAnsi="Arial"/>
          <w:sz w:val="14"/>
          <w:szCs w:val="14"/>
          <w:color w:val="auto"/>
        </w:rPr>
        <w:t>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45" w:lineRule="exact"/>
        <w:rPr>
          <w:rFonts w:ascii="Arial" w:cs="Arial" w:eastAsia="Arial" w:hAnsi="Arial"/>
          <w:sz w:val="14"/>
          <w:szCs w:val="14"/>
          <w:color w:val="auto"/>
        </w:rPr>
      </w:pPr>
    </w:p>
    <w:p>
      <w:pPr>
        <w:ind w:left="520" w:right="200" w:firstLine="514"/>
        <w:spacing w:after="0" w:line="300" w:lineRule="auto"/>
        <w:tabs>
          <w:tab w:leader="none" w:pos="1775" w:val="left"/>
        </w:tabs>
        <w:numPr>
          <w:ilvl w:val="0"/>
          <w:numId w:val="167"/>
        </w:numPr>
        <w:rPr>
          <w:rFonts w:ascii="Arial" w:cs="Arial" w:eastAsia="Arial" w:hAnsi="Arial"/>
          <w:sz w:val="13"/>
          <w:szCs w:val="13"/>
          <w:color w:val="auto"/>
        </w:rPr>
      </w:pPr>
      <w:r>
        <w:rPr>
          <w:rFonts w:ascii="Arial" w:cs="Arial" w:eastAsia="Arial" w:hAnsi="Arial"/>
          <w:sz w:val="13"/>
          <w:szCs w:val="13"/>
          <w:i w:val="1"/>
          <w:iCs w:val="1"/>
          <w:color w:val="auto"/>
        </w:rPr>
        <w:t>Good Standing</w:t>
      </w:r>
      <w:r>
        <w:rPr>
          <w:rFonts w:ascii="Arial" w:cs="Arial" w:eastAsia="Arial" w:hAnsi="Arial"/>
          <w:sz w:val="13"/>
          <w:szCs w:val="13"/>
          <w:color w:val="auto"/>
        </w:rPr>
        <w:t>. The Representatives shall have received on and as of the Closing Date or the Additional Closing Date, as the case may be, satisfactory evidence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24" w:lineRule="exact"/>
        <w:rPr>
          <w:rFonts w:ascii="Arial" w:cs="Arial" w:eastAsia="Arial" w:hAnsi="Arial"/>
          <w:sz w:val="13"/>
          <w:szCs w:val="13"/>
          <w:color w:val="auto"/>
        </w:rPr>
      </w:pPr>
    </w:p>
    <w:p>
      <w:pPr>
        <w:ind w:left="520" w:right="360" w:firstLine="514"/>
        <w:spacing w:after="0" w:line="285" w:lineRule="auto"/>
        <w:tabs>
          <w:tab w:leader="none" w:pos="1735"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Exchange Listing. </w:t>
      </w:r>
      <w:r>
        <w:rPr>
          <w:rFonts w:ascii="Arial" w:cs="Arial" w:eastAsia="Arial" w:hAnsi="Arial"/>
          <w:sz w:val="14"/>
          <w:szCs w:val="14"/>
          <w:color w:val="auto"/>
        </w:rPr>
        <w:t>The Shares to be delivered on the Closing Date or the Additional Closing Date, as the case may be, shall have been approved for listing on the</w:t>
      </w:r>
      <w:r>
        <w:rPr>
          <w:rFonts w:ascii="Arial" w:cs="Arial" w:eastAsia="Arial" w:hAnsi="Arial"/>
          <w:sz w:val="14"/>
          <w:szCs w:val="14"/>
          <w:i w:val="1"/>
          <w:iCs w:val="1"/>
          <w:color w:val="auto"/>
        </w:rPr>
        <w:t xml:space="preserve"> </w:t>
      </w:r>
      <w:r>
        <w:rPr>
          <w:rFonts w:ascii="Arial" w:cs="Arial" w:eastAsia="Arial" w:hAnsi="Arial"/>
          <w:sz w:val="14"/>
          <w:szCs w:val="14"/>
          <w:color w:val="auto"/>
        </w:rPr>
        <w:t>Nasdaq, subject to official notice of issuance.</w:t>
      </w:r>
    </w:p>
    <w:p>
      <w:pPr>
        <w:spacing w:after="0" w:line="131" w:lineRule="exact"/>
        <w:rPr>
          <w:rFonts w:ascii="Arial" w:cs="Arial" w:eastAsia="Arial" w:hAnsi="Arial"/>
          <w:sz w:val="14"/>
          <w:szCs w:val="14"/>
          <w:color w:val="auto"/>
        </w:rPr>
      </w:pPr>
    </w:p>
    <w:p>
      <w:pPr>
        <w:ind w:left="520" w:right="120" w:firstLine="514"/>
        <w:spacing w:after="0" w:line="270" w:lineRule="auto"/>
        <w:tabs>
          <w:tab w:leader="none" w:pos="1775"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Lock-up Agreements</w:t>
      </w:r>
      <w:r>
        <w:rPr>
          <w:rFonts w:ascii="Arial" w:cs="Arial" w:eastAsia="Arial" w:hAnsi="Arial"/>
          <w:sz w:val="14"/>
          <w:szCs w:val="14"/>
          <w:color w:val="auto"/>
        </w:rPr>
        <w:t>. The “lock-up” agreements, each substantially in the form of Exhibit D hereto, between you and certain shareholders, officers and directors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42" w:lineRule="exact"/>
        <w:rPr>
          <w:rFonts w:ascii="Arial" w:cs="Arial" w:eastAsia="Arial" w:hAnsi="Arial"/>
          <w:sz w:val="14"/>
          <w:szCs w:val="14"/>
          <w:color w:val="auto"/>
        </w:rPr>
      </w:pPr>
    </w:p>
    <w:p>
      <w:pPr>
        <w:ind w:left="520" w:right="200" w:firstLine="514"/>
        <w:spacing w:after="0" w:line="285" w:lineRule="auto"/>
        <w:tabs>
          <w:tab w:leader="none" w:pos="1704"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 xml:space="preserve">Additional Documents. </w:t>
      </w:r>
      <w:r>
        <w:rPr>
          <w:rFonts w:ascii="Arial" w:cs="Arial" w:eastAsia="Arial" w:hAnsi="Arial"/>
          <w:sz w:val="14"/>
          <w:szCs w:val="14"/>
          <w:color w:val="auto"/>
        </w:rPr>
        <w:t>On or prior to the Closing Date or the Additional Closing Date, as the case may be, the Company shall have furnished to the Representatives</w:t>
      </w:r>
      <w:r>
        <w:rPr>
          <w:rFonts w:ascii="Arial" w:cs="Arial" w:eastAsia="Arial" w:hAnsi="Arial"/>
          <w:sz w:val="14"/>
          <w:szCs w:val="14"/>
          <w:i w:val="1"/>
          <w:iCs w:val="1"/>
          <w:color w:val="auto"/>
        </w:rPr>
        <w:t xml:space="preserve"> </w:t>
      </w:r>
      <w:r>
        <w:rPr>
          <w:rFonts w:ascii="Arial" w:cs="Arial" w:eastAsia="Arial" w:hAnsi="Arial"/>
          <w:sz w:val="14"/>
          <w:szCs w:val="14"/>
          <w:color w:val="auto"/>
        </w:rPr>
        <w:t>such further certificates and documents as the Representatives may reasonably request.</w:t>
      </w:r>
    </w:p>
    <w:p>
      <w:pPr>
        <w:spacing w:after="0" w:line="132" w:lineRule="exact"/>
        <w:rPr>
          <w:sz w:val="20"/>
          <w:szCs w:val="20"/>
          <w:color w:val="auto"/>
        </w:rPr>
      </w:pPr>
    </w:p>
    <w:p>
      <w:pPr>
        <w:ind w:right="60" w:firstLine="514"/>
        <w:spacing w:after="0" w:line="285" w:lineRule="auto"/>
        <w:rPr>
          <w:sz w:val="20"/>
          <w:szCs w:val="20"/>
          <w:color w:val="auto"/>
        </w:rPr>
      </w:pPr>
      <w:r>
        <w:rPr>
          <w:rFonts w:ascii="Arial" w:cs="Arial" w:eastAsia="Arial" w:hAnsi="Arial"/>
          <w:sz w:val="14"/>
          <w:szCs w:val="14"/>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07" w:name="page308"/>
    <w:bookmarkEnd w:id="307"/>
    <w:p>
      <w:pPr>
        <w:ind w:left="1240" w:hanging="740"/>
        <w:spacing w:after="0"/>
        <w:tabs>
          <w:tab w:leader="none" w:pos="1240"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Indemnification and Contribution</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20" w:firstLine="777"/>
        <w:spacing w:after="0" w:line="279" w:lineRule="auto"/>
        <w:tabs>
          <w:tab w:leader="none" w:pos="1445" w:val="left"/>
        </w:tabs>
        <w:numPr>
          <w:ilvl w:val="1"/>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of the Underwriters. </w:t>
      </w:r>
      <w:r>
        <w:rPr>
          <w:rFonts w:ascii="Arial" w:cs="Arial" w:eastAsia="Arial" w:hAnsi="Arial"/>
          <w:sz w:val="13"/>
          <w:szCs w:val="13"/>
          <w:color w:val="auto"/>
        </w:rPr>
        <w:t>The Company agrees to indemnify and hold harmless each Underwriter, its affiliates, directors and officers and each person, if any,</w:t>
      </w:r>
      <w:r>
        <w:rPr>
          <w:rFonts w:ascii="Arial" w:cs="Arial" w:eastAsia="Arial" w:hAnsi="Arial"/>
          <w:sz w:val="13"/>
          <w:szCs w:val="13"/>
          <w:i w:val="1"/>
          <w:iCs w:val="1"/>
          <w:color w:val="auto"/>
        </w:rPr>
        <w:t xml:space="preserve"> </w:t>
      </w:r>
      <w:r>
        <w:rPr>
          <w:rFonts w:ascii="Arial" w:cs="Arial" w:eastAsia="Arial" w:hAnsi="Arial"/>
          <w:sz w:val="13"/>
          <w:szCs w:val="13"/>
          <w:color w:val="auto"/>
        </w:rPr>
        <w:t>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42" w:lineRule="exact"/>
        <w:rPr>
          <w:rFonts w:ascii="Arial" w:cs="Arial" w:eastAsia="Arial" w:hAnsi="Arial"/>
          <w:sz w:val="13"/>
          <w:szCs w:val="13"/>
          <w:color w:val="auto"/>
        </w:rPr>
      </w:pPr>
    </w:p>
    <w:p>
      <w:pPr>
        <w:ind w:left="-20" w:right="20" w:firstLine="777"/>
        <w:spacing w:after="0" w:line="282" w:lineRule="auto"/>
        <w:tabs>
          <w:tab w:leader="none" w:pos="1453" w:val="left"/>
        </w:tabs>
        <w:numPr>
          <w:ilvl w:val="1"/>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of the Company. </w:t>
      </w:r>
      <w:r>
        <w:rPr>
          <w:rFonts w:ascii="Arial" w:cs="Arial" w:eastAsia="Arial" w:hAnsi="Arial"/>
          <w:sz w:val="13"/>
          <w:szCs w:val="13"/>
          <w:color w:val="auto"/>
        </w:rPr>
        <w:t>Each Underwriter agrees, severally and not jointly, to indemnify and hold harmless the Company, its directors, its officers who signed the</w:t>
      </w:r>
      <w:r>
        <w:rPr>
          <w:rFonts w:ascii="Arial" w:cs="Arial" w:eastAsia="Arial" w:hAnsi="Arial"/>
          <w:sz w:val="13"/>
          <w:szCs w:val="13"/>
          <w:i w:val="1"/>
          <w:iCs w:val="1"/>
          <w:color w:val="auto"/>
        </w:rPr>
        <w:t xml:space="preserve"> </w:t>
      </w:r>
      <w:r>
        <w:rPr>
          <w:rFonts w:ascii="Arial" w:cs="Arial" w:eastAsia="Arial" w:hAnsi="Arial"/>
          <w:sz w:val="13"/>
          <w:szCs w:val="13"/>
          <w:color w:val="auto"/>
        </w:rPr>
        <w:t>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716089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308" w:name="page309"/>
    <w:bookmarkEnd w:id="308"/>
    <w:p>
      <w:pPr>
        <w:ind w:left="-6" w:firstLine="777"/>
        <w:spacing w:after="0" w:line="301" w:lineRule="auto"/>
        <w:tabs>
          <w:tab w:leader="none" w:pos="1459" w:val="left"/>
        </w:tabs>
        <w:numPr>
          <w:ilvl w:val="1"/>
          <w:numId w:val="169"/>
        </w:numPr>
        <w:rPr>
          <w:rFonts w:ascii="Arial" w:cs="Arial" w:eastAsia="Arial" w:hAnsi="Arial"/>
          <w:sz w:val="12"/>
          <w:szCs w:val="12"/>
          <w:color w:val="auto"/>
        </w:rPr>
      </w:pPr>
      <w:r>
        <w:rPr>
          <w:rFonts w:ascii="Arial" w:cs="Arial" w:eastAsia="Arial" w:hAnsi="Arial"/>
          <w:sz w:val="12"/>
          <w:szCs w:val="12"/>
          <w:color w:val="auto"/>
        </w:rPr>
        <w:t xml:space="preserve">Notice and Procedures.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w:t>
      </w:r>
    </w:p>
    <w:p>
      <w:pPr>
        <w:spacing w:after="0" w:line="146" w:lineRule="exact"/>
        <w:rPr>
          <w:rFonts w:ascii="Arial" w:cs="Arial" w:eastAsia="Arial" w:hAnsi="Arial"/>
          <w:sz w:val="12"/>
          <w:szCs w:val="12"/>
          <w:color w:val="auto"/>
        </w:rPr>
      </w:pPr>
    </w:p>
    <w:p>
      <w:pPr>
        <w:ind w:left="-6" w:right="400" w:firstLine="6"/>
        <w:spacing w:after="0" w:line="270" w:lineRule="auto"/>
        <w:tabs>
          <w:tab w:leader="none" w:pos="205"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Indemnifying Person shall not have reimbursed the Indemnified Person in accordance with such request prior to the date of such settlement. No Indemnifying Person shall, without the written</w:t>
      </w:r>
    </w:p>
    <w:p>
      <w:pPr>
        <w:spacing w:after="0" w:line="313"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089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74"/>
          </w:cols>
          <w:pgMar w:left="306" w:top="750" w:right="319" w:bottom="1440" w:gutter="0" w:footer="0" w:header="0"/>
        </w:sectPr>
      </w:pPr>
    </w:p>
    <w:bookmarkStart w:id="309" w:name="page310"/>
    <w:bookmarkEnd w:id="309"/>
    <w:p>
      <w:pPr>
        <w:ind w:right="100"/>
        <w:spacing w:after="0" w:line="265" w:lineRule="auto"/>
        <w:rPr>
          <w:sz w:val="20"/>
          <w:szCs w:val="20"/>
          <w:color w:val="auto"/>
        </w:rPr>
      </w:pPr>
      <w:r>
        <w:rPr>
          <w:rFonts w:ascii="Arial" w:cs="Arial" w:eastAsia="Arial" w:hAnsi="Arial"/>
          <w:sz w:val="14"/>
          <w:szCs w:val="14"/>
          <w:color w:val="auto"/>
        </w:rPr>
        <w:t>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46" w:lineRule="exact"/>
        <w:rPr>
          <w:sz w:val="20"/>
          <w:szCs w:val="20"/>
          <w:color w:val="auto"/>
        </w:rPr>
      </w:pPr>
    </w:p>
    <w:p>
      <w:pPr>
        <w:ind w:right="40" w:firstLine="777"/>
        <w:spacing w:after="0" w:line="280" w:lineRule="auto"/>
        <w:tabs>
          <w:tab w:leader="none" w:pos="1473" w:val="left"/>
        </w:tabs>
        <w:numPr>
          <w:ilvl w:val="1"/>
          <w:numId w:val="171"/>
        </w:numPr>
        <w:rPr>
          <w:rFonts w:ascii="Arial" w:cs="Arial" w:eastAsia="Arial" w:hAnsi="Arial"/>
          <w:sz w:val="13"/>
          <w:szCs w:val="13"/>
          <w:color w:val="auto"/>
        </w:rPr>
      </w:pPr>
      <w:r>
        <w:rPr>
          <w:rFonts w:ascii="Arial" w:cs="Arial" w:eastAsia="Arial" w:hAnsi="Arial"/>
          <w:sz w:val="13"/>
          <w:szCs w:val="13"/>
          <w:i w:val="1"/>
          <w:iCs w:val="1"/>
          <w:color w:val="auto"/>
        </w:rPr>
        <w:t xml:space="preserve">Contribution. </w:t>
      </w:r>
      <w:r>
        <w:rPr>
          <w:rFonts w:ascii="Arial" w:cs="Arial" w:eastAsia="Arial" w:hAnsi="Arial"/>
          <w:sz w:val="13"/>
          <w:szCs w:val="13"/>
          <w:color w:val="auto"/>
        </w:rPr>
        <w:t>If the indemnification provided for in paragraphs (a) or (b) above is unavailable to an Indemnified Person or insufficient in respect of any losses, claims,</w:t>
      </w:r>
      <w:r>
        <w:rPr>
          <w:rFonts w:ascii="Arial" w:cs="Arial" w:eastAsia="Arial" w:hAnsi="Arial"/>
          <w:sz w:val="13"/>
          <w:szCs w:val="13"/>
          <w:i w:val="1"/>
          <w:iCs w:val="1"/>
          <w:color w:val="auto"/>
        </w:rPr>
        <w:t xml:space="preserve"> </w:t>
      </w:r>
      <w:r>
        <w:rPr>
          <w:rFonts w:ascii="Arial" w:cs="Arial" w:eastAsia="Arial" w:hAnsi="Arial"/>
          <w:sz w:val="13"/>
          <w:szCs w:val="13"/>
          <w:color w:val="auto"/>
        </w:rPr>
        <w:t>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37" w:lineRule="exact"/>
        <w:rPr>
          <w:rFonts w:ascii="Arial" w:cs="Arial" w:eastAsia="Arial" w:hAnsi="Arial"/>
          <w:sz w:val="13"/>
          <w:szCs w:val="13"/>
          <w:color w:val="auto"/>
        </w:rPr>
      </w:pPr>
    </w:p>
    <w:p>
      <w:pPr>
        <w:ind w:firstLine="777"/>
        <w:spacing w:after="0" w:line="302" w:lineRule="auto"/>
        <w:tabs>
          <w:tab w:leader="none" w:pos="1465" w:val="left"/>
        </w:tabs>
        <w:numPr>
          <w:ilvl w:val="1"/>
          <w:numId w:val="171"/>
        </w:numPr>
        <w:rPr>
          <w:rFonts w:ascii="Arial" w:cs="Arial" w:eastAsia="Arial" w:hAnsi="Arial"/>
          <w:sz w:val="12"/>
          <w:szCs w:val="12"/>
          <w:color w:val="auto"/>
        </w:rPr>
      </w:pPr>
      <w:r>
        <w:rPr>
          <w:rFonts w:ascii="Arial" w:cs="Arial" w:eastAsia="Arial" w:hAnsi="Arial"/>
          <w:sz w:val="12"/>
          <w:szCs w:val="12"/>
          <w:i w:val="1"/>
          <w:iCs w:val="1"/>
          <w:color w:val="auto"/>
        </w:rPr>
        <w:t xml:space="preserve">Limitation on Liability. </w:t>
      </w:r>
      <w:r>
        <w:rPr>
          <w:rFonts w:ascii="Arial" w:cs="Arial" w:eastAsia="Arial" w:hAnsi="Arial"/>
          <w:sz w:val="12"/>
          <w:szCs w:val="12"/>
          <w:color w:val="auto"/>
        </w:rPr>
        <w:t>The Company and the Underwriters agree that it would not be just and equitable if contribution pursuant to paragraph (d) above were determined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by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paragraphs</w:t>
      </w:r>
    </w:p>
    <w:p>
      <w:pPr>
        <w:ind w:right="40" w:firstLine="6"/>
        <w:spacing w:after="0" w:line="260" w:lineRule="auto"/>
        <w:tabs>
          <w:tab w:leader="none" w:pos="202" w:val="left"/>
        </w:tabs>
        <w:numPr>
          <w:ilvl w:val="0"/>
          <w:numId w:val="172"/>
        </w:numPr>
        <w:rPr>
          <w:rFonts w:ascii="Arial" w:cs="Arial" w:eastAsia="Arial" w:hAnsi="Arial"/>
          <w:sz w:val="14"/>
          <w:szCs w:val="14"/>
          <w:color w:val="auto"/>
        </w:rPr>
      </w:pPr>
      <w:r>
        <w:rPr>
          <w:rFonts w:ascii="Arial" w:cs="Arial" w:eastAsia="Arial" w:hAnsi="Arial"/>
          <w:sz w:val="14"/>
          <w:szCs w:val="14"/>
          <w:color w:val="auto"/>
        </w:rPr>
        <w:t>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color w:val="auto"/>
        </w:rPr>
        <w:t>Underwriters’ obligations to contribute pursuant to paragraphs (d) and (e) are several in proportion to their respective purchase obligations hereunder and not joint.</w:t>
      </w:r>
    </w:p>
    <w:p>
      <w:pPr>
        <w:spacing w:after="0" w:line="182" w:lineRule="exact"/>
        <w:rPr>
          <w:sz w:val="20"/>
          <w:szCs w:val="20"/>
          <w:color w:val="auto"/>
        </w:rPr>
      </w:pPr>
    </w:p>
    <w:p>
      <w:pPr>
        <w:ind w:right="240" w:firstLine="777"/>
        <w:spacing w:after="0" w:line="285" w:lineRule="auto"/>
        <w:tabs>
          <w:tab w:leader="none" w:pos="1485" w:val="left"/>
        </w:tabs>
        <w:numPr>
          <w:ilvl w:val="1"/>
          <w:numId w:val="173"/>
        </w:numPr>
        <w:rPr>
          <w:rFonts w:ascii="Arial" w:cs="Arial" w:eastAsia="Arial" w:hAnsi="Arial"/>
          <w:sz w:val="14"/>
          <w:szCs w:val="14"/>
          <w:color w:val="auto"/>
        </w:rPr>
      </w:pPr>
      <w:r>
        <w:rPr>
          <w:rFonts w:ascii="Arial" w:cs="Arial" w:eastAsia="Arial" w:hAnsi="Arial"/>
          <w:sz w:val="14"/>
          <w:szCs w:val="14"/>
          <w:i w:val="1"/>
          <w:iCs w:val="1"/>
          <w:color w:val="auto"/>
        </w:rPr>
        <w:t xml:space="preserve">Non-Exclusive Remedies. </w:t>
      </w:r>
      <w:r>
        <w:rPr>
          <w:rFonts w:ascii="Arial" w:cs="Arial" w:eastAsia="Arial" w:hAnsi="Arial"/>
          <w:sz w:val="14"/>
          <w:szCs w:val="14"/>
          <w:color w:val="auto"/>
        </w:rPr>
        <w:t>The remedies provided for in this Section 7 paragraphs (a) through (e) are not exclusive and shall not limit any rights or remedies which may</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be available to any Indemnified Person at law or in equity.</w:t>
      </w:r>
    </w:p>
    <w:p>
      <w:pPr>
        <w:spacing w:after="0" w:line="131" w:lineRule="exact"/>
        <w:rPr>
          <w:rFonts w:ascii="Arial" w:cs="Arial" w:eastAsia="Arial" w:hAnsi="Arial"/>
          <w:sz w:val="14"/>
          <w:szCs w:val="14"/>
          <w:color w:val="auto"/>
        </w:rPr>
      </w:pPr>
    </w:p>
    <w:p>
      <w:pPr>
        <w:ind w:left="1260" w:hanging="740"/>
        <w:spacing w:after="0"/>
        <w:tabs>
          <w:tab w:leader="none" w:pos="1260"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Effectiveness of Agreement</w:t>
      </w:r>
      <w:r>
        <w:rPr>
          <w:rFonts w:ascii="Arial" w:cs="Arial" w:eastAsia="Arial" w:hAnsi="Arial"/>
          <w:sz w:val="14"/>
          <w:szCs w:val="14"/>
          <w:color w:val="auto"/>
        </w:rPr>
        <w:t>. This Agreement shall become effective as of the date first written above.</w:t>
      </w:r>
    </w:p>
    <w:p>
      <w:pPr>
        <w:spacing w:after="0" w:line="181" w:lineRule="exact"/>
        <w:rPr>
          <w:rFonts w:ascii="Arial" w:cs="Arial" w:eastAsia="Arial" w:hAnsi="Arial"/>
          <w:sz w:val="14"/>
          <w:szCs w:val="14"/>
          <w:color w:val="auto"/>
        </w:rPr>
      </w:pPr>
    </w:p>
    <w:p>
      <w:pPr>
        <w:ind w:right="20" w:firstLine="520"/>
        <w:spacing w:after="0" w:line="260" w:lineRule="auto"/>
        <w:tabs>
          <w:tab w:leader="none" w:pos="1263"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49" w:lineRule="exact"/>
        <w:rPr>
          <w:rFonts w:ascii="Arial" w:cs="Arial" w:eastAsia="Arial" w:hAnsi="Arial"/>
          <w:sz w:val="14"/>
          <w:szCs w:val="14"/>
          <w:color w:val="auto"/>
        </w:rPr>
      </w:pPr>
    </w:p>
    <w:p>
      <w:pPr>
        <w:ind w:left="1200" w:hanging="680"/>
        <w:spacing w:after="0"/>
        <w:tabs>
          <w:tab w:leader="none" w:pos="1200"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Defaulting Underwriter</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firstLine="777"/>
        <w:spacing w:after="0" w:line="281" w:lineRule="auto"/>
        <w:tabs>
          <w:tab w:leader="none" w:pos="1465" w:val="left"/>
        </w:tabs>
        <w:numPr>
          <w:ilvl w:val="1"/>
          <w:numId w:val="174"/>
        </w:numPr>
        <w:rPr>
          <w:rFonts w:ascii="Arial" w:cs="Arial" w:eastAsia="Arial" w:hAnsi="Arial"/>
          <w:sz w:val="13"/>
          <w:szCs w:val="13"/>
          <w:color w:val="auto"/>
        </w:rPr>
      </w:pPr>
      <w:r>
        <w:rPr>
          <w:rFonts w:ascii="Arial" w:cs="Arial" w:eastAsia="Arial" w:hAnsi="Arial"/>
          <w:sz w:val="13"/>
          <w:szCs w:val="13"/>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11" w:name="page312"/>
    <w:bookmarkEnd w:id="311"/>
    <w:p>
      <w:pPr>
        <w:ind w:firstLine="777"/>
        <w:spacing w:after="0" w:line="262" w:lineRule="auto"/>
        <w:tabs>
          <w:tab w:leader="none" w:pos="1473" w:val="left"/>
        </w:tabs>
        <w:numPr>
          <w:ilvl w:val="1"/>
          <w:numId w:val="175"/>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49" w:lineRule="exact"/>
        <w:rPr>
          <w:rFonts w:ascii="Arial" w:cs="Arial" w:eastAsia="Arial" w:hAnsi="Arial"/>
          <w:sz w:val="14"/>
          <w:szCs w:val="14"/>
          <w:color w:val="auto"/>
        </w:rPr>
      </w:pPr>
    </w:p>
    <w:p>
      <w:pPr>
        <w:ind w:right="20" w:firstLine="777"/>
        <w:spacing w:after="0" w:line="285" w:lineRule="auto"/>
        <w:tabs>
          <w:tab w:leader="none" w:pos="1465" w:val="left"/>
        </w:tabs>
        <w:numPr>
          <w:ilvl w:val="1"/>
          <w:numId w:val="175"/>
        </w:numPr>
        <w:rPr>
          <w:rFonts w:ascii="Arial" w:cs="Arial" w:eastAsia="Arial" w:hAnsi="Arial"/>
          <w:sz w:val="13"/>
          <w:szCs w:val="13"/>
          <w:color w:val="auto"/>
        </w:rPr>
      </w:pPr>
      <w:r>
        <w:rPr>
          <w:rFonts w:ascii="Arial" w:cs="Arial" w:eastAsia="Arial" w:hAnsi="Arial"/>
          <w:sz w:val="13"/>
          <w:szCs w:val="13"/>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34" w:lineRule="exact"/>
        <w:rPr>
          <w:rFonts w:ascii="Arial" w:cs="Arial" w:eastAsia="Arial" w:hAnsi="Arial"/>
          <w:sz w:val="13"/>
          <w:szCs w:val="13"/>
          <w:color w:val="auto"/>
        </w:rPr>
      </w:pPr>
    </w:p>
    <w:p>
      <w:pPr>
        <w:ind w:left="1480" w:hanging="703"/>
        <w:spacing w:after="0"/>
        <w:tabs>
          <w:tab w:leader="none" w:pos="1480" w:val="left"/>
        </w:tabs>
        <w:numPr>
          <w:ilvl w:val="1"/>
          <w:numId w:val="175"/>
        </w:numPr>
        <w:rPr>
          <w:rFonts w:ascii="Arial" w:cs="Arial" w:eastAsia="Arial" w:hAnsi="Arial"/>
          <w:sz w:val="13"/>
          <w:szCs w:val="13"/>
          <w:color w:val="auto"/>
        </w:rPr>
      </w:pPr>
      <w:r>
        <w:rPr>
          <w:rFonts w:ascii="Arial" w:cs="Arial" w:eastAsia="Arial" w:hAnsi="Arial"/>
          <w:sz w:val="13"/>
          <w:szCs w:val="13"/>
          <w:color w:val="auto"/>
        </w:rPr>
        <w:t>Nothing contained herein shall relieve a defaulting Underwriter of any liability it may have to the Company or any non-defaulting Underwriter for damages caused by its</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default.</w:t>
      </w:r>
    </w:p>
    <w:p>
      <w:pPr>
        <w:spacing w:after="0" w:line="171" w:lineRule="exact"/>
        <w:rPr>
          <w:rFonts w:ascii="Arial" w:cs="Arial" w:eastAsia="Arial" w:hAnsi="Arial"/>
          <w:sz w:val="13"/>
          <w:szCs w:val="13"/>
          <w:color w:val="auto"/>
        </w:rPr>
      </w:pPr>
    </w:p>
    <w:p>
      <w:pPr>
        <w:ind w:left="1200" w:hanging="680"/>
        <w:spacing w:after="0"/>
        <w:tabs>
          <w:tab w:leader="none" w:pos="120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Payment of Expenses</w:t>
      </w:r>
      <w:r>
        <w:rPr>
          <w:rFonts w:ascii="Arial" w:cs="Arial" w:eastAsia="Arial" w:hAnsi="Arial"/>
          <w:sz w:val="14"/>
          <w:szCs w:val="14"/>
          <w:i w:val="1"/>
          <w:iCs w:val="1"/>
          <w:color w:val="auto"/>
        </w:rPr>
        <w:t>.</w:t>
      </w:r>
    </w:p>
    <w:p>
      <w:pPr>
        <w:spacing w:after="0" w:line="181" w:lineRule="exact"/>
        <w:rPr>
          <w:rFonts w:ascii="Arial" w:cs="Arial" w:eastAsia="Arial" w:hAnsi="Arial"/>
          <w:sz w:val="14"/>
          <w:szCs w:val="14"/>
          <w:color w:val="auto"/>
        </w:rPr>
      </w:pPr>
    </w:p>
    <w:p>
      <w:pPr>
        <w:ind w:firstLine="777"/>
        <w:spacing w:after="0" w:line="281" w:lineRule="auto"/>
        <w:tabs>
          <w:tab w:leader="none" w:pos="1465" w:val="left"/>
        </w:tabs>
        <w:numPr>
          <w:ilvl w:val="1"/>
          <w:numId w:val="176"/>
        </w:numPr>
        <w:rPr>
          <w:rFonts w:ascii="Arial" w:cs="Arial" w:eastAsia="Arial" w:hAnsi="Arial"/>
          <w:sz w:val="13"/>
          <w:szCs w:val="13"/>
          <w:color w:val="auto"/>
        </w:rPr>
      </w:pPr>
      <w:r>
        <w:rPr>
          <w:rFonts w:ascii="Arial" w:cs="Arial" w:eastAsia="Arial" w:hAnsi="Arial"/>
          <w:sz w:val="13"/>
          <w:szCs w:val="13"/>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and documented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(including the related and documented fees and expenses of counsel for the Underwriters), provided that the aggregate amount payable by the Company for the fees and</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00" w:top="750" w:right="359" w:bottom="1440" w:gutter="0" w:footer="0" w:header="0"/>
        </w:sectPr>
      </w:pPr>
    </w:p>
    <w:bookmarkStart w:id="312" w:name="page313"/>
    <w:bookmarkEnd w:id="312"/>
    <w:p>
      <w:pPr>
        <w:spacing w:after="0" w:line="292" w:lineRule="auto"/>
        <w:rPr>
          <w:sz w:val="20"/>
          <w:szCs w:val="20"/>
          <w:color w:val="auto"/>
        </w:rPr>
      </w:pPr>
      <w:r>
        <w:rPr>
          <w:rFonts w:ascii="Arial" w:cs="Arial" w:eastAsia="Arial" w:hAnsi="Arial"/>
          <w:sz w:val="13"/>
          <w:szCs w:val="13"/>
          <w:color w:val="auto"/>
        </w:rPr>
        <w:t>disbursements of counsel to the Underwriters pursuant to subsections (iv) and (vii) shall not exceed $40,000; (viii) all expenses incurred by the Company in connection with any “road show” presentation to potential investors; and (ix) all expenses and application fees related to the listing of the Shares on the Nasdaq. It is understood, however, that except as provided in this Section 11 or Section 7 hereof, the Underwriters shall pay their own costs and expenses, including the fees of their counsel, any advertising expenses connected with any offers they may make and all travel (except as set forth in subsection (viii) above), lodging and other expenses of the Underwriters, any of their employees, their representatives and their counsel.</w:t>
      </w:r>
    </w:p>
    <w:p>
      <w:pPr>
        <w:spacing w:after="0" w:line="129" w:lineRule="exact"/>
        <w:rPr>
          <w:sz w:val="20"/>
          <w:szCs w:val="20"/>
          <w:color w:val="auto"/>
        </w:rPr>
      </w:pPr>
    </w:p>
    <w:p>
      <w:pPr>
        <w:ind w:left="1480" w:hanging="703"/>
        <w:spacing w:after="0"/>
        <w:tabs>
          <w:tab w:leader="none" w:pos="1480" w:val="left"/>
        </w:tabs>
        <w:numPr>
          <w:ilvl w:val="2"/>
          <w:numId w:val="177"/>
        </w:numPr>
        <w:rPr>
          <w:rFonts w:ascii="Arial" w:cs="Arial" w:eastAsia="Arial" w:hAnsi="Arial"/>
          <w:sz w:val="13"/>
          <w:szCs w:val="13"/>
          <w:color w:val="auto"/>
        </w:rPr>
      </w:pPr>
      <w:r>
        <w:rPr>
          <w:rFonts w:ascii="Arial" w:cs="Arial" w:eastAsia="Arial" w:hAnsi="Arial"/>
          <w:sz w:val="13"/>
          <w:szCs w:val="13"/>
          <w:color w:val="auto"/>
        </w:rPr>
        <w:t>If (i) this Agreement is terminated pursuant to clauses (i) or (ii) of Section 9, (ii) the Company for any reason fails to tender the Shares for delivery to the Underwriters or</w:t>
      </w:r>
    </w:p>
    <w:p>
      <w:pPr>
        <w:spacing w:after="0" w:line="31" w:lineRule="exact"/>
        <w:rPr>
          <w:rFonts w:ascii="Arial" w:cs="Arial" w:eastAsia="Arial" w:hAnsi="Arial"/>
          <w:sz w:val="13"/>
          <w:szCs w:val="13"/>
          <w:color w:val="auto"/>
        </w:rPr>
      </w:pPr>
    </w:p>
    <w:p>
      <w:pPr>
        <w:ind w:firstLine="6"/>
        <w:spacing w:after="0" w:line="260" w:lineRule="auto"/>
        <w:tabs>
          <w:tab w:leader="none" w:pos="25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Underwriters decline to purchase the Shares for any reason permitted under this Agreement (other than pursuant to clauses (iii) or (iv) of Section 9), the Company agrees to reimburse the Underwriters for all documented out-of-pocket costs and expenses (including the fees and expenses of their counsel) reasonably incurred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Shares.</w:t>
      </w:r>
    </w:p>
    <w:p>
      <w:pPr>
        <w:spacing w:after="0" w:line="149" w:lineRule="exact"/>
        <w:rPr>
          <w:rFonts w:ascii="Arial" w:cs="Arial" w:eastAsia="Arial" w:hAnsi="Arial"/>
          <w:sz w:val="14"/>
          <w:szCs w:val="14"/>
          <w:color w:val="auto"/>
        </w:rPr>
      </w:pPr>
    </w:p>
    <w:p>
      <w:pPr>
        <w:ind w:firstLine="520"/>
        <w:spacing w:after="0" w:line="265" w:lineRule="auto"/>
        <w:tabs>
          <w:tab w:leader="none" w:pos="1192"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Persons Entitled to Benefit of Agreement</w:t>
      </w:r>
      <w:r>
        <w:rPr>
          <w:rFonts w:ascii="Arial" w:cs="Arial" w:eastAsia="Arial" w:hAnsi="Arial"/>
          <w:sz w:val="14"/>
          <w:szCs w:val="14"/>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45" w:lineRule="exact"/>
        <w:rPr>
          <w:rFonts w:ascii="Arial" w:cs="Arial" w:eastAsia="Arial" w:hAnsi="Arial"/>
          <w:sz w:val="14"/>
          <w:szCs w:val="14"/>
          <w:color w:val="auto"/>
        </w:rPr>
      </w:pPr>
    </w:p>
    <w:p>
      <w:pPr>
        <w:ind w:right="80" w:firstLine="520"/>
        <w:spacing w:after="0" w:line="265" w:lineRule="auto"/>
        <w:tabs>
          <w:tab w:leader="none" w:pos="1192"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45" w:lineRule="exact"/>
        <w:rPr>
          <w:rFonts w:ascii="Arial" w:cs="Arial" w:eastAsia="Arial" w:hAnsi="Arial"/>
          <w:sz w:val="14"/>
          <w:szCs w:val="14"/>
          <w:color w:val="auto"/>
        </w:rPr>
      </w:pPr>
    </w:p>
    <w:p>
      <w:pPr>
        <w:ind w:right="120" w:firstLine="520"/>
        <w:spacing w:after="0" w:line="270" w:lineRule="auto"/>
        <w:tabs>
          <w:tab w:leader="none" w:pos="1192"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Certain Defined Terms</w:t>
      </w:r>
      <w:r>
        <w:rPr>
          <w:rFonts w:ascii="Arial" w:cs="Arial" w:eastAsia="Arial" w:hAnsi="Arial"/>
          <w:sz w:val="14"/>
          <w:szCs w:val="14"/>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13" w:name="page314"/>
    <w:bookmarkEnd w:id="313"/>
    <w:p>
      <w:pPr>
        <w:ind w:left="-6" w:right="320" w:firstLine="520"/>
        <w:spacing w:after="0" w:line="270" w:lineRule="auto"/>
        <w:tabs>
          <w:tab w:leader="none" w:pos="1186"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Compliance with USA Patriot Act</w:t>
      </w:r>
      <w:r>
        <w:rPr>
          <w:rFonts w:ascii="Arial" w:cs="Arial" w:eastAsia="Arial" w:hAnsi="Arial"/>
          <w:sz w:val="14"/>
          <w:szCs w:val="14"/>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2" w:lineRule="exact"/>
        <w:rPr>
          <w:rFonts w:ascii="Arial" w:cs="Arial" w:eastAsia="Arial" w:hAnsi="Arial"/>
          <w:sz w:val="14"/>
          <w:szCs w:val="14"/>
          <w:color w:val="auto"/>
        </w:rPr>
      </w:pPr>
    </w:p>
    <w:p>
      <w:pPr>
        <w:ind w:left="1194" w:hanging="680"/>
        <w:spacing w:after="0"/>
        <w:tabs>
          <w:tab w:leader="none" w:pos="1194"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6" w:right="140" w:firstLine="777"/>
        <w:spacing w:after="0" w:line="282" w:lineRule="auto"/>
        <w:tabs>
          <w:tab w:leader="none" w:pos="1459" w:val="left"/>
        </w:tabs>
        <w:numPr>
          <w:ilvl w:val="2"/>
          <w:numId w:val="179"/>
        </w:numPr>
        <w:rPr>
          <w:rFonts w:ascii="Arial" w:cs="Arial" w:eastAsia="Arial" w:hAnsi="Arial"/>
          <w:sz w:val="13"/>
          <w:szCs w:val="13"/>
          <w:color w:val="auto"/>
        </w:rPr>
      </w:pPr>
      <w:r>
        <w:rPr>
          <w:rFonts w:ascii="Arial" w:cs="Arial" w:eastAsia="Arial" w:hAnsi="Arial"/>
          <w:sz w:val="13"/>
          <w:szCs w:val="13"/>
          <w:i w:val="1"/>
          <w:iCs w:val="1"/>
          <w:color w:val="auto"/>
        </w:rPr>
        <w:t>Notices</w:t>
      </w:r>
      <w:r>
        <w:rPr>
          <w:rFonts w:ascii="Arial" w:cs="Arial" w:eastAsia="Arial" w:hAnsi="Arial"/>
          <w:sz w:val="13"/>
          <w:szCs w:val="13"/>
          <w:color w:val="auto"/>
        </w:rPr>
        <w:t>. All notices and other communications hereunder shall be in writing and shall be deemed to have been duly given if mailed or transmitted and confirmed by any</w:t>
      </w:r>
      <w:r>
        <w:rPr>
          <w:rFonts w:ascii="Arial" w:cs="Arial" w:eastAsia="Arial" w:hAnsi="Arial"/>
          <w:sz w:val="13"/>
          <w:szCs w:val="13"/>
          <w:i w:val="1"/>
          <w:iCs w:val="1"/>
          <w:color w:val="auto"/>
        </w:rPr>
        <w:t xml:space="preserve"> </w:t>
      </w:r>
      <w:r>
        <w:rPr>
          <w:rFonts w:ascii="Arial" w:cs="Arial" w:eastAsia="Arial" w:hAnsi="Arial"/>
          <w:sz w:val="13"/>
          <w:szCs w:val="13"/>
          <w:color w:val="auto"/>
        </w:rPr>
        <w:t>standard form of telecommunication. Notices to the Underwriters shall be given to the Representatives c/o J.P. Morgan Securities LLC, 383 Madison Avenue, New York, New York 10179 (fax:</w:t>
      </w:r>
    </w:p>
    <w:p>
      <w:pPr>
        <w:spacing w:after="0" w:line="1" w:lineRule="exact"/>
        <w:rPr>
          <w:rFonts w:ascii="Arial" w:cs="Arial" w:eastAsia="Arial" w:hAnsi="Arial"/>
          <w:sz w:val="13"/>
          <w:szCs w:val="13"/>
          <w:color w:val="auto"/>
        </w:rPr>
      </w:pPr>
    </w:p>
    <w:p>
      <w:pPr>
        <w:ind w:left="-6" w:firstLine="6"/>
        <w:spacing w:after="0" w:line="259" w:lineRule="auto"/>
        <w:tabs>
          <w:tab w:leader="none" w:pos="339" w:val="left"/>
        </w:tabs>
        <w:numPr>
          <w:ilvl w:val="0"/>
          <w:numId w:val="180"/>
        </w:numPr>
        <w:rPr>
          <w:rFonts w:ascii="Arial" w:cs="Arial" w:eastAsia="Arial" w:hAnsi="Arial"/>
          <w:sz w:val="14"/>
          <w:szCs w:val="14"/>
          <w:color w:val="auto"/>
        </w:rPr>
      </w:pPr>
      <w:r>
        <w:rPr>
          <w:rFonts w:ascii="Arial" w:cs="Arial" w:eastAsia="Arial" w:hAnsi="Arial"/>
          <w:sz w:val="14"/>
          <w:szCs w:val="14"/>
          <w:color w:val="auto"/>
        </w:rPr>
        <w:t>622-8358), Attention Equity Syndicate Desk, c/o BofA Securities, Inc., 1540 Broadway, NY8-540-26-02, New York, New York 10036, Facsimile: 212-901-7881, Attention: High Grade Debt Capital Markets Transaction Management/Legal, BofA Securities, Inc., One Bryant Park, New York, New York 10036, (ECM), c/o SVB Leerink LLC, 1301 Avenue of the Americas, 12th Floor, New York, New York 10019 (facsimile: (646) 499-7051), c/o Piper Sandler, 800 Nicollet Mall, Suite 900, Minneapolis, MN 55402 Attention: Piper Legal, email: LegalCapMarkets@psc.com. Notices to the Company shall be given to it at Century Therapeutics, Inc., 3675 Market Street, Philadelphia, Pennsylvania 19104, Attention: Lalo Flores, with copies to Troutman Pepper Hamilton Sanders LLP, 2 Logan Square, Suite 3000, Philadelphia, Pennsylvania 19103, Attention: Rachael Bushey.</w:t>
      </w:r>
    </w:p>
    <w:p>
      <w:pPr>
        <w:spacing w:after="0" w:line="149" w:lineRule="exact"/>
        <w:rPr>
          <w:rFonts w:ascii="Arial" w:cs="Arial" w:eastAsia="Arial" w:hAnsi="Arial"/>
          <w:sz w:val="14"/>
          <w:szCs w:val="14"/>
          <w:color w:val="auto"/>
        </w:rPr>
      </w:pPr>
    </w:p>
    <w:p>
      <w:pPr>
        <w:ind w:left="-6" w:right="100" w:firstLine="777"/>
        <w:spacing w:after="0" w:line="285" w:lineRule="auto"/>
        <w:tabs>
          <w:tab w:leader="none" w:pos="1467" w:val="left"/>
        </w:tabs>
        <w:numPr>
          <w:ilvl w:val="2"/>
          <w:numId w:val="180"/>
        </w:numPr>
        <w:rPr>
          <w:rFonts w:ascii="Arial" w:cs="Arial" w:eastAsia="Arial" w:hAnsi="Arial"/>
          <w:sz w:val="14"/>
          <w:szCs w:val="14"/>
          <w:color w:val="auto"/>
        </w:rPr>
      </w:pPr>
      <w:r>
        <w:rPr>
          <w:rFonts w:ascii="Arial" w:cs="Arial" w:eastAsia="Arial" w:hAnsi="Arial"/>
          <w:sz w:val="14"/>
          <w:szCs w:val="14"/>
          <w:i w:val="1"/>
          <w:iCs w:val="1"/>
          <w:color w:val="auto"/>
        </w:rPr>
        <w:t xml:space="preserve">Governing Law. </w:t>
      </w:r>
      <w:r>
        <w:rPr>
          <w:rFonts w:ascii="Arial" w:cs="Arial" w:eastAsia="Arial" w:hAnsi="Arial"/>
          <w:sz w:val="14"/>
          <w:szCs w:val="14"/>
          <w:color w:val="auto"/>
        </w:rPr>
        <w:t>This Agreement and any claim, controversy or dispute arising under or related to this Agreement shall be governed by and construed in accordance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laws of the State of New York.</w:t>
      </w:r>
    </w:p>
    <w:p>
      <w:pPr>
        <w:spacing w:after="0" w:line="131" w:lineRule="exact"/>
        <w:rPr>
          <w:rFonts w:ascii="Arial" w:cs="Arial" w:eastAsia="Arial" w:hAnsi="Arial"/>
          <w:sz w:val="14"/>
          <w:szCs w:val="14"/>
          <w:color w:val="auto"/>
        </w:rPr>
      </w:pPr>
    </w:p>
    <w:p>
      <w:pPr>
        <w:jc w:val="both"/>
        <w:ind w:left="-6" w:right="80" w:firstLine="777"/>
        <w:spacing w:after="0" w:line="292" w:lineRule="auto"/>
        <w:tabs>
          <w:tab w:leader="none" w:pos="1459" w:val="left"/>
        </w:tabs>
        <w:numPr>
          <w:ilvl w:val="2"/>
          <w:numId w:val="180"/>
        </w:numPr>
        <w:rPr>
          <w:rFonts w:ascii="Arial" w:cs="Arial" w:eastAsia="Arial" w:hAnsi="Arial"/>
          <w:sz w:val="13"/>
          <w:szCs w:val="13"/>
          <w:color w:val="auto"/>
        </w:rPr>
      </w:pPr>
      <w:r>
        <w:rPr>
          <w:rFonts w:ascii="Arial" w:cs="Arial" w:eastAsia="Arial" w:hAnsi="Arial"/>
          <w:sz w:val="13"/>
          <w:szCs w:val="13"/>
          <w:i w:val="1"/>
          <w:iCs w:val="1"/>
          <w:color w:val="auto"/>
        </w:rPr>
        <w:t>Submission to Jurisdiction</w:t>
      </w:r>
      <w:r>
        <w:rPr>
          <w:rFonts w:ascii="Arial" w:cs="Arial" w:eastAsia="Arial" w:hAnsi="Arial"/>
          <w:sz w:val="13"/>
          <w:szCs w:val="13"/>
          <w:color w:val="auto"/>
        </w:rPr>
        <w:t>. The Company hereby submits to the exclusive jurisdiction of the U.S. federal and New York state courts in the Borough of Manhattan in The</w:t>
      </w:r>
      <w:r>
        <w:rPr>
          <w:rFonts w:ascii="Arial" w:cs="Arial" w:eastAsia="Arial" w:hAnsi="Arial"/>
          <w:sz w:val="13"/>
          <w:szCs w:val="13"/>
          <w:i w:val="1"/>
          <w:iCs w:val="1"/>
          <w:color w:val="auto"/>
        </w:rPr>
        <w:t xml:space="preserve"> </w:t>
      </w:r>
      <w:r>
        <w:rPr>
          <w:rFonts w:ascii="Arial" w:cs="Arial" w:eastAsia="Arial" w:hAnsi="Arial"/>
          <w:sz w:val="13"/>
          <w:szCs w:val="13"/>
          <w:color w:val="auto"/>
        </w:rPr>
        <w:t>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29" w:lineRule="exact"/>
        <w:rPr>
          <w:rFonts w:ascii="Arial" w:cs="Arial" w:eastAsia="Arial" w:hAnsi="Arial"/>
          <w:sz w:val="13"/>
          <w:szCs w:val="13"/>
          <w:color w:val="auto"/>
        </w:rPr>
      </w:pPr>
    </w:p>
    <w:p>
      <w:pPr>
        <w:ind w:left="1514" w:hanging="743"/>
        <w:spacing w:after="0"/>
        <w:tabs>
          <w:tab w:leader="none" w:pos="1514" w:val="left"/>
        </w:tabs>
        <w:numPr>
          <w:ilvl w:val="2"/>
          <w:numId w:val="180"/>
        </w:numPr>
        <w:rPr>
          <w:rFonts w:ascii="Arial" w:cs="Arial" w:eastAsia="Arial" w:hAnsi="Arial"/>
          <w:sz w:val="14"/>
          <w:szCs w:val="14"/>
          <w:color w:val="auto"/>
        </w:rPr>
      </w:pPr>
      <w:r>
        <w:rPr>
          <w:rFonts w:ascii="Arial" w:cs="Arial" w:eastAsia="Arial" w:hAnsi="Arial"/>
          <w:sz w:val="14"/>
          <w:szCs w:val="14"/>
          <w:i w:val="1"/>
          <w:iCs w:val="1"/>
          <w:color w:val="auto"/>
        </w:rPr>
        <w:t xml:space="preserve">Waiver of Jury Trial. </w:t>
      </w:r>
      <w:r>
        <w:rPr>
          <w:rFonts w:ascii="Arial" w:cs="Arial" w:eastAsia="Arial" w:hAnsi="Arial"/>
          <w:sz w:val="14"/>
          <w:szCs w:val="14"/>
          <w:color w:val="auto"/>
        </w:rPr>
        <w:t>Each of the parties hereto hereby waives any right to trial by jury in any suit or proceeding arising out of or relating to this Agreement.</w:t>
      </w:r>
    </w:p>
    <w:p>
      <w:pPr>
        <w:spacing w:after="0" w:line="181" w:lineRule="exact"/>
        <w:rPr>
          <w:rFonts w:ascii="Arial" w:cs="Arial" w:eastAsia="Arial" w:hAnsi="Arial"/>
          <w:sz w:val="14"/>
          <w:szCs w:val="14"/>
          <w:color w:val="auto"/>
        </w:rPr>
      </w:pPr>
    </w:p>
    <w:p>
      <w:pPr>
        <w:ind w:left="1474" w:hanging="703"/>
        <w:spacing w:after="0"/>
        <w:tabs>
          <w:tab w:leader="none" w:pos="1474" w:val="left"/>
        </w:tabs>
        <w:numPr>
          <w:ilvl w:val="2"/>
          <w:numId w:val="180"/>
        </w:numPr>
        <w:rPr>
          <w:rFonts w:ascii="Arial" w:cs="Arial" w:eastAsia="Arial" w:hAnsi="Arial"/>
          <w:sz w:val="14"/>
          <w:szCs w:val="14"/>
          <w:color w:val="auto"/>
        </w:rPr>
      </w:pPr>
      <w:r>
        <w:rPr>
          <w:rFonts w:ascii="Arial" w:cs="Arial" w:eastAsia="Arial" w:hAnsi="Arial"/>
          <w:sz w:val="14"/>
          <w:szCs w:val="14"/>
          <w:i w:val="1"/>
          <w:iCs w:val="1"/>
          <w:color w:val="auto"/>
        </w:rPr>
        <w:t>Recognition of the U.S. Special Resolution Regimes</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514" w:right="80" w:firstLine="874"/>
        <w:spacing w:after="0" w:line="325" w:lineRule="auto"/>
        <w:tabs>
          <w:tab w:leader="none" w:pos="1559" w:val="left"/>
        </w:tabs>
        <w:numPr>
          <w:ilvl w:val="3"/>
          <w:numId w:val="180"/>
        </w:numPr>
        <w:rPr>
          <w:rFonts w:ascii="Arial" w:cs="Arial" w:eastAsia="Arial" w:hAnsi="Arial"/>
          <w:sz w:val="13"/>
          <w:szCs w:val="13"/>
          <w:color w:val="auto"/>
        </w:rPr>
      </w:pPr>
      <w:r>
        <w:rPr>
          <w:rFonts w:ascii="Arial" w:cs="Arial" w:eastAsia="Arial" w:hAnsi="Arial"/>
          <w:sz w:val="13"/>
          <w:szCs w:val="13"/>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w:t>
      </w:r>
    </w:p>
    <w:p>
      <w:pPr>
        <w:spacing w:after="0" w:line="281" w:lineRule="exact"/>
        <w:rPr>
          <w:sz w:val="20"/>
          <w:szCs w:val="20"/>
          <w:color w:val="auto"/>
        </w:rPr>
      </w:pPr>
    </w:p>
    <w:p>
      <w:pPr>
        <w:jc w:val="center"/>
        <w:ind w:right="-53"/>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089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14"/>
          </w:cols>
          <w:pgMar w:left="306" w:top="750" w:right="379" w:bottom="1440" w:gutter="0" w:footer="0" w:header="0"/>
        </w:sectPr>
      </w:pPr>
    </w:p>
    <w:bookmarkStart w:id="314" w:name="page315"/>
    <w:bookmarkEnd w:id="314"/>
    <w:p>
      <w:pPr>
        <w:ind w:left="500"/>
        <w:spacing w:after="0"/>
        <w:rPr>
          <w:sz w:val="20"/>
          <w:szCs w:val="20"/>
          <w:color w:val="auto"/>
        </w:rPr>
      </w:pPr>
      <w:r>
        <w:rPr>
          <w:rFonts w:ascii="Arial" w:cs="Arial" w:eastAsia="Arial" w:hAnsi="Arial"/>
          <w:sz w:val="14"/>
          <w:szCs w:val="14"/>
          <w:color w:val="auto"/>
        </w:rPr>
        <w:t>Resolution Regime if this Agreement, and any such interest and obligation, were governed by the laws of the United States or a state of the United States.</w:t>
      </w:r>
    </w:p>
    <w:p>
      <w:pPr>
        <w:spacing w:after="0" w:line="182" w:lineRule="exact"/>
        <w:rPr>
          <w:sz w:val="20"/>
          <w:szCs w:val="20"/>
          <w:color w:val="auto"/>
        </w:rPr>
      </w:pPr>
    </w:p>
    <w:p>
      <w:pPr>
        <w:ind w:left="500" w:right="20" w:firstLine="874"/>
        <w:spacing w:after="0" w:line="270" w:lineRule="auto"/>
        <w:tabs>
          <w:tab w:leader="none" w:pos="15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As used in this Section 16(g):</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“BHC Act Affiliate” has the meaning assigned to the term “affiliate” in, and shall be interpreted in accordance with, 12 U.S.C. § 1841(k).</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“Covered Entity” means any of the following:</w:t>
      </w:r>
    </w:p>
    <w:p>
      <w:pPr>
        <w:spacing w:after="0" w:line="182" w:lineRule="exact"/>
        <w:rPr>
          <w:sz w:val="20"/>
          <w:szCs w:val="20"/>
          <w:color w:val="auto"/>
        </w:rPr>
      </w:pPr>
    </w:p>
    <w:p>
      <w:pPr>
        <w:ind w:left="1540" w:hanging="166"/>
        <w:spacing w:after="0"/>
        <w:tabs>
          <w:tab w:leader="none" w:pos="15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 “covered entity” as that term is defined in, and interpreted in accordance with, 12 C.F.R. § 252.82(b);</w:t>
      </w:r>
    </w:p>
    <w:p>
      <w:pPr>
        <w:spacing w:after="0" w:line="181" w:lineRule="exact"/>
        <w:rPr>
          <w:rFonts w:ascii="Arial" w:cs="Arial" w:eastAsia="Arial" w:hAnsi="Arial"/>
          <w:sz w:val="14"/>
          <w:szCs w:val="14"/>
          <w:color w:val="auto"/>
        </w:rPr>
      </w:pPr>
    </w:p>
    <w:p>
      <w:pPr>
        <w:ind w:left="1580" w:hanging="206"/>
        <w:spacing w:after="0"/>
        <w:tabs>
          <w:tab w:leader="none" w:pos="15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 “covered bank” as that term is defined in, and interpreted in accordance with, 12 C.F.R. § 47.3(b); or</w:t>
      </w:r>
    </w:p>
    <w:p>
      <w:pPr>
        <w:spacing w:after="0" w:line="181" w:lineRule="exact"/>
        <w:rPr>
          <w:rFonts w:ascii="Arial" w:cs="Arial" w:eastAsia="Arial" w:hAnsi="Arial"/>
          <w:sz w:val="14"/>
          <w:szCs w:val="14"/>
          <w:color w:val="auto"/>
        </w:rPr>
      </w:pPr>
    </w:p>
    <w:p>
      <w:pPr>
        <w:ind w:left="1620" w:hanging="246"/>
        <w:spacing w:after="0"/>
        <w:tabs>
          <w:tab w:leader="none" w:pos="162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a “covered FSI” as that term is defined in, and interpreted in accordance with, 12 C.F.R. § 382.2(b).</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“Default Right” has the meaning assigned to that term in, and shall be interpreted in accordance with, 12 C.F.R. §§ 252.81, 47.2 or 382.1, as applicable.</w:t>
      </w:r>
    </w:p>
    <w:p>
      <w:pPr>
        <w:spacing w:after="0" w:line="182" w:lineRule="exact"/>
        <w:rPr>
          <w:sz w:val="20"/>
          <w:szCs w:val="20"/>
          <w:color w:val="auto"/>
        </w:rPr>
      </w:pPr>
    </w:p>
    <w:p>
      <w:pPr>
        <w:ind w:left="1020" w:right="100"/>
        <w:spacing w:after="0" w:line="285" w:lineRule="auto"/>
        <w:rPr>
          <w:sz w:val="20"/>
          <w:szCs w:val="20"/>
          <w:color w:val="auto"/>
        </w:rPr>
      </w:pPr>
      <w:r>
        <w:rPr>
          <w:rFonts w:ascii="Arial" w:cs="Arial" w:eastAsia="Arial" w:hAnsi="Arial"/>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2" w:lineRule="exact"/>
        <w:rPr>
          <w:sz w:val="20"/>
          <w:szCs w:val="20"/>
          <w:color w:val="auto"/>
        </w:rPr>
      </w:pPr>
    </w:p>
    <w:p>
      <w:pPr>
        <w:ind w:left="-20" w:firstLine="777"/>
        <w:spacing w:after="0" w:line="260" w:lineRule="auto"/>
        <w:tabs>
          <w:tab w:leader="none" w:pos="1167" w:val="left"/>
        </w:tabs>
        <w:numPr>
          <w:ilvl w:val="0"/>
          <w:numId w:val="183"/>
        </w:numPr>
        <w:rPr>
          <w:rFonts w:ascii="Arial" w:cs="Arial" w:eastAsia="Arial" w:hAnsi="Arial"/>
          <w:sz w:val="14"/>
          <w:szCs w:val="14"/>
          <w:color w:val="auto"/>
        </w:rPr>
      </w:pPr>
      <w:r>
        <w:rPr>
          <w:rFonts w:ascii="Arial" w:cs="Arial" w:eastAsia="Arial" w:hAnsi="Arial"/>
          <w:sz w:val="14"/>
          <w:szCs w:val="14"/>
          <w:i w:val="1"/>
          <w:iCs w:val="1"/>
          <w:color w:val="auto"/>
        </w:rPr>
        <w:t xml:space="preserve">Counterparts. </w:t>
      </w:r>
      <w:r>
        <w:rPr>
          <w:rFonts w:ascii="Arial" w:cs="Arial" w:eastAsia="Arial" w:hAnsi="Arial"/>
          <w:sz w:val="14"/>
          <w:szCs w:val="14"/>
          <w:color w:val="auto"/>
        </w:rPr>
        <w:t>This Agreement may be signed in counterparts (which may include counterparts delivered by any standard form of telecommunication), each of which shall be an</w:t>
      </w:r>
      <w:r>
        <w:rPr>
          <w:rFonts w:ascii="Arial" w:cs="Arial" w:eastAsia="Arial" w:hAnsi="Arial"/>
          <w:sz w:val="14"/>
          <w:szCs w:val="14"/>
          <w:i w:val="1"/>
          <w:iCs w:val="1"/>
          <w:color w:val="auto"/>
        </w:rPr>
        <w:t xml:space="preserve"> </w:t>
      </w:r>
      <w:r>
        <w:rPr>
          <w:rFonts w:ascii="Arial" w:cs="Arial" w:eastAsia="Arial" w:hAnsi="Arial"/>
          <w:sz w:val="14"/>
          <w:szCs w:val="14"/>
          <w:color w:val="auto"/>
        </w:rPr>
        <w:t>original and all of which together shall constitute one and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716089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20" w:top="750" w:right="319"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color w:val="auto"/>
        </w:rPr>
        <w:t>Records Act and any other applicable law, including, without limitation, any state law based on the Uniform Electronic Transactions Act or the Uniform Commercial Code.</w:t>
      </w:r>
    </w:p>
    <w:p>
      <w:pPr>
        <w:spacing w:after="0" w:line="182" w:lineRule="exact"/>
        <w:rPr>
          <w:sz w:val="20"/>
          <w:szCs w:val="20"/>
          <w:color w:val="auto"/>
        </w:rPr>
      </w:pPr>
    </w:p>
    <w:p>
      <w:pPr>
        <w:ind w:firstLine="777"/>
        <w:spacing w:after="0" w:line="285" w:lineRule="auto"/>
        <w:tabs>
          <w:tab w:leader="none" w:pos="1155" w:val="left"/>
        </w:tabs>
        <w:numPr>
          <w:ilvl w:val="0"/>
          <w:numId w:val="184"/>
        </w:numPr>
        <w:rPr>
          <w:rFonts w:ascii="Arial" w:cs="Arial" w:eastAsia="Arial" w:hAnsi="Arial"/>
          <w:sz w:val="14"/>
          <w:szCs w:val="14"/>
          <w:color w:val="auto"/>
        </w:rPr>
      </w:pPr>
      <w:r>
        <w:rPr>
          <w:rFonts w:ascii="Arial" w:cs="Arial" w:eastAsia="Arial" w:hAnsi="Arial"/>
          <w:sz w:val="14"/>
          <w:szCs w:val="14"/>
          <w:i w:val="1"/>
          <w:iCs w:val="1"/>
          <w:color w:val="auto"/>
        </w:rPr>
        <w:t xml:space="preserve">Amendments or Waivers. </w:t>
      </w:r>
      <w:r>
        <w:rPr>
          <w:rFonts w:ascii="Arial" w:cs="Arial" w:eastAsia="Arial" w:hAnsi="Arial"/>
          <w:sz w:val="14"/>
          <w:szCs w:val="14"/>
          <w:color w:val="auto"/>
        </w:rPr>
        <w:t>No amendment or waiver of any provision of this Agreement, nor any consent or approval to any departure therefrom, shall in any event be 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same shall be in writing and signed by the parties hereto.</w:t>
      </w:r>
    </w:p>
    <w:p>
      <w:pPr>
        <w:spacing w:after="0" w:line="131" w:lineRule="exact"/>
        <w:rPr>
          <w:rFonts w:ascii="Arial" w:cs="Arial" w:eastAsia="Arial" w:hAnsi="Arial"/>
          <w:sz w:val="14"/>
          <w:szCs w:val="14"/>
          <w:color w:val="auto"/>
        </w:rPr>
      </w:pPr>
    </w:p>
    <w:p>
      <w:pPr>
        <w:ind w:left="1160" w:hanging="383"/>
        <w:spacing w:after="0"/>
        <w:tabs>
          <w:tab w:leader="none" w:pos="1160" w:val="left"/>
        </w:tabs>
        <w:numPr>
          <w:ilvl w:val="0"/>
          <w:numId w:val="184"/>
        </w:numPr>
        <w:rPr>
          <w:rFonts w:ascii="Arial" w:cs="Arial" w:eastAsia="Arial" w:hAnsi="Arial"/>
          <w:sz w:val="12"/>
          <w:szCs w:val="12"/>
          <w:color w:val="auto"/>
        </w:rPr>
      </w:pPr>
      <w:r>
        <w:rPr>
          <w:rFonts w:ascii="Arial" w:cs="Arial" w:eastAsia="Arial" w:hAnsi="Arial"/>
          <w:sz w:val="12"/>
          <w:szCs w:val="12"/>
          <w:i w:val="1"/>
          <w:iCs w:val="1"/>
          <w:color w:val="auto"/>
        </w:rPr>
        <w:t xml:space="preserve">Headings. </w:t>
      </w:r>
      <w:r>
        <w:rPr>
          <w:rFonts w:ascii="Arial" w:cs="Arial" w:eastAsia="Arial" w:hAnsi="Arial"/>
          <w:sz w:val="12"/>
          <w:szCs w:val="12"/>
          <w:color w:val="auto"/>
        </w:rPr>
        <w:t>The headings herein are included for convenience of reference only and are not intended to be part of, or to affect the meaning or interpretation of, this Agreement.</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100"/>
          </w:cols>
          <w:pgMar w:left="300" w:top="750" w:right="499" w:bottom="1440" w:gutter="0" w:footer="0" w:header="0"/>
        </w:sectPr>
      </w:pPr>
    </w:p>
    <w:bookmarkStart w:id="316" w:name="page317"/>
    <w:bookmarkEnd w:id="316"/>
    <w:p>
      <w:pPr>
        <w:ind w:left="4440" w:right="1119" w:hanging="5064"/>
        <w:spacing w:after="0" w:line="510" w:lineRule="auto"/>
        <w:rPr>
          <w:sz w:val="20"/>
          <w:szCs w:val="20"/>
          <w:color w:val="auto"/>
        </w:rPr>
      </w:pPr>
      <w:r>
        <w:rPr>
          <w:rFonts w:ascii="Arial" w:cs="Arial" w:eastAsia="Arial" w:hAnsi="Arial"/>
          <w:sz w:val="14"/>
          <w:szCs w:val="14"/>
          <w:color w:val="auto"/>
        </w:rPr>
        <w:t>If the foregoing is in accordance with your understanding, please indicate your acceptance of this Agreement by signing in the space provided below. Very truly yours,</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CENTURY THERAPEUTICS, INC.</w:t>
      </w:r>
    </w:p>
    <w:p>
      <w:pPr>
        <w:spacing w:after="0" w:line="18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13335</wp:posOffset>
            </wp:positionV>
            <wp:extent cx="341376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5">
                      <a:extLst>
                        <a:ext uri="{28A0092B-C50C-407E-A947-70E740481C1C}"/>
                      </a:extLst>
                    </a:blip>
                    <a:srcRect/>
                    <a:stretch>
                      <a:fillRect/>
                    </a:stretch>
                  </pic:blipFill>
                  <pic:spPr bwMode="auto">
                    <a:xfrm>
                      <a:off x="0" y="0"/>
                      <a:ext cx="3413760" cy="698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Title:</w:t>
      </w:r>
    </w:p>
    <w:p>
      <w:pPr>
        <w:spacing w:after="0" w:line="34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13335</wp:posOffset>
            </wp:positionV>
            <wp:extent cx="716089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color w:val="auto"/>
        </w:rPr>
        <w:t>Accepted: As of the date first written above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For itself and on behalf of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several Underwriters listed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 Schedule 1 hereto.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13335</wp:posOffset>
            </wp:positionV>
            <wp:extent cx="340677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7">
                      <a:extLst>
                        <a:ext uri="{28A0092B-C50C-407E-A947-70E740481C1C}"/>
                      </a:extLst>
                    </a:blip>
                    <a:srcRect/>
                    <a:stretch>
                      <a:fillRect/>
                    </a:stretch>
                  </pic:blipFill>
                  <pic:spPr bwMode="auto">
                    <a:xfrm>
                      <a:off x="0" y="0"/>
                      <a:ext cx="3406775" cy="6985"/>
                    </a:xfrm>
                    <a:prstGeom prst="rect">
                      <a:avLst/>
                    </a:prstGeom>
                    <a:noFill/>
                  </pic:spPr>
                </pic:pic>
              </a:graphicData>
            </a:graphic>
          </wp:anchor>
        </w:drawing>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Authorized Signatory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BOFA SECURITIES, INC.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For itself and on behalf of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several Underwriters listed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 Schedule 1 hereto.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13335</wp:posOffset>
            </wp:positionV>
            <wp:extent cx="340677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8">
                      <a:extLst>
                        <a:ext uri="{28A0092B-C50C-407E-A947-70E740481C1C}"/>
                      </a:extLst>
                    </a:blip>
                    <a:srcRect/>
                    <a:stretch>
                      <a:fillRect/>
                    </a:stretch>
                  </pic:blipFill>
                  <pic:spPr bwMode="auto">
                    <a:xfrm>
                      <a:off x="0" y="0"/>
                      <a:ext cx="3406775" cy="6985"/>
                    </a:xfrm>
                    <a:prstGeom prst="rect">
                      <a:avLst/>
                    </a:prstGeom>
                    <a:noFill/>
                  </pic:spPr>
                </pic:pic>
              </a:graphicData>
            </a:graphic>
          </wp:anchor>
        </w:drawing>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Authorized Signatory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SVB LEERINK LLC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For itself and on behalf of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several Underwriters listed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 Schedule 1 hereto.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13335</wp:posOffset>
            </wp:positionV>
            <wp:extent cx="340677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9">
                      <a:extLst>
                        <a:ext uri="{28A0092B-C50C-407E-A947-70E740481C1C}"/>
                      </a:extLst>
                    </a:blip>
                    <a:srcRect/>
                    <a:stretch>
                      <a:fillRect/>
                    </a:stretch>
                  </pic:blipFill>
                  <pic:spPr bwMode="auto">
                    <a:xfrm>
                      <a:off x="0" y="0"/>
                      <a:ext cx="3406775" cy="6985"/>
                    </a:xfrm>
                    <a:prstGeom prst="rect">
                      <a:avLst/>
                    </a:prstGeom>
                    <a:noFill/>
                  </pic:spPr>
                </pic:pic>
              </a:graphicData>
            </a:graphic>
          </wp:anchor>
        </w:drawing>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Authorized Signatory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PIPER SANDLER &amp; CO.</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For itself and on behalf of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several Underwriters listed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 Schedule 1 hereto.</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13335</wp:posOffset>
            </wp:positionV>
            <wp:extent cx="340677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0">
                      <a:extLst>
                        <a:ext uri="{28A0092B-C50C-407E-A947-70E740481C1C}"/>
                      </a:extLst>
                    </a:blip>
                    <a:srcRect/>
                    <a:stretch>
                      <a:fillRect/>
                    </a:stretch>
                  </pic:blipFill>
                  <pic:spPr bwMode="auto">
                    <a:xfrm>
                      <a:off x="0" y="0"/>
                      <a:ext cx="3406775" cy="6985"/>
                    </a:xfrm>
                    <a:prstGeom prst="rect">
                      <a:avLst/>
                    </a:prstGeom>
                    <a:noFill/>
                  </pic:spPr>
                </pic:pic>
              </a:graphicData>
            </a:graphic>
          </wp:anchor>
        </w:drawing>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Authorized Signatory</w:t>
      </w:r>
    </w:p>
    <w:p>
      <w:pPr>
        <w:spacing w:after="0" w:line="35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750"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4"/>
          <w:szCs w:val="14"/>
          <w:color w:val="auto"/>
        </w:rPr>
        <w:t>Schedule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Number of Shares</w:t>
            </w: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44"/>
        </w:trPr>
        <w:tc>
          <w:tcPr>
            <w:tcW w:w="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J.P. Morgan Securities LLC</w:t>
            </w:r>
          </w:p>
        </w:tc>
        <w:tc>
          <w:tcPr>
            <w:tcW w:w="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171"/>
        </w:trPr>
        <w:tc>
          <w:tcPr>
            <w:tcW w:w="8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171"/>
        </w:trPr>
        <w:tc>
          <w:tcPr>
            <w:tcW w:w="8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SVB Leerink LLC</w:t>
            </w: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171"/>
        </w:trPr>
        <w:tc>
          <w:tcPr>
            <w:tcW w:w="8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Piper Sandler &amp; Co.</w:t>
            </w:r>
          </w:p>
        </w:tc>
        <w:tc>
          <w:tcPr>
            <w:tcW w:w="8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181"/>
        </w:trPr>
        <w:tc>
          <w:tcPr>
            <w:tcW w:w="8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857"/>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w:t>
            </w:r>
          </w:p>
        </w:tc>
      </w:tr>
      <w:tr>
        <w:trPr>
          <w:trHeight w:val="514"/>
        </w:trPr>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849"/>
              <w:spacing w:after="0"/>
              <w:rPr>
                <w:sz w:val="20"/>
                <w:szCs w:val="20"/>
                <w:color w:val="auto"/>
              </w:rPr>
            </w:pPr>
            <w:r>
              <w:rPr>
                <w:rFonts w:ascii="Arial" w:cs="Arial" w:eastAsia="Arial" w:hAnsi="Arial"/>
                <w:sz w:val="14"/>
                <w:szCs w:val="14"/>
                <w:color w:val="auto"/>
              </w:rPr>
              <w:t>40</w:t>
            </w: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0" w:right="3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4"/>
          <w:szCs w:val="14"/>
          <w:color w:val="auto"/>
        </w:rPr>
        <w:t>Annex A</w:t>
      </w:r>
    </w:p>
    <w:p>
      <w:pPr>
        <w:spacing w:after="0" w:line="20" w:lineRule="exact"/>
        <w:rPr>
          <w:sz w:val="20"/>
          <w:szCs w:val="20"/>
          <w:color w:val="auto"/>
        </w:rPr>
      </w:pPr>
    </w:p>
    <w:p>
      <w:pPr>
        <w:ind w:left="520" w:right="9280" w:hanging="514"/>
        <w:spacing w:after="0" w:line="270" w:lineRule="auto"/>
        <w:tabs>
          <w:tab w:leader="none" w:pos="355" w:val="left"/>
        </w:tabs>
        <w:numPr>
          <w:ilvl w:val="0"/>
          <w:numId w:val="185"/>
        </w:numPr>
        <w:rPr>
          <w:rFonts w:ascii="Arial" w:cs="Arial" w:eastAsia="Arial" w:hAnsi="Arial"/>
          <w:sz w:val="14"/>
          <w:szCs w:val="14"/>
          <w:color w:val="auto"/>
        </w:rPr>
      </w:pPr>
      <w:r>
        <w:rPr>
          <w:rFonts w:ascii="Arial" w:cs="Arial" w:eastAsia="Arial" w:hAnsi="Arial"/>
          <w:sz w:val="14"/>
          <w:szCs w:val="14"/>
          <w:b w:val="1"/>
          <w:bCs w:val="1"/>
          <w:color w:val="auto"/>
        </w:rPr>
        <w:t xml:space="preserve">Pricing Disclosure Package </w:t>
      </w:r>
      <w:r>
        <w:rPr>
          <w:rFonts w:ascii="Arial" w:cs="Arial" w:eastAsia="Arial" w:hAnsi="Arial"/>
          <w:sz w:val="14"/>
          <w:szCs w:val="14"/>
          <w:color w:val="auto"/>
        </w:rPr>
        <w:t>[●]</w:t>
      </w:r>
    </w:p>
    <w:p>
      <w:pPr>
        <w:spacing w:after="0" w:line="137" w:lineRule="exact"/>
        <w:rPr>
          <w:rFonts w:ascii="Arial" w:cs="Arial" w:eastAsia="Arial" w:hAnsi="Arial"/>
          <w:sz w:val="14"/>
          <w:szCs w:val="14"/>
          <w:color w:val="auto"/>
        </w:rPr>
      </w:pPr>
    </w:p>
    <w:p>
      <w:pPr>
        <w:ind w:left="520" w:right="7620" w:hanging="514"/>
        <w:spacing w:after="0" w:line="291" w:lineRule="auto"/>
        <w:tabs>
          <w:tab w:leader="none" w:pos="363" w:val="left"/>
        </w:tabs>
        <w:numPr>
          <w:ilvl w:val="0"/>
          <w:numId w:val="185"/>
        </w:numPr>
        <w:rPr>
          <w:rFonts w:ascii="Arial" w:cs="Arial" w:eastAsia="Arial" w:hAnsi="Arial"/>
          <w:sz w:val="14"/>
          <w:szCs w:val="14"/>
          <w:color w:val="auto"/>
        </w:rPr>
      </w:pPr>
      <w:r>
        <w:rPr>
          <w:rFonts w:ascii="Arial" w:cs="Arial" w:eastAsia="Arial" w:hAnsi="Arial"/>
          <w:sz w:val="14"/>
          <w:szCs w:val="14"/>
          <w:b w:val="1"/>
          <w:bCs w:val="1"/>
          <w:color w:val="auto"/>
        </w:rPr>
        <w:t xml:space="preserve">Pricing Information Provided Orally by Underwriters </w:t>
      </w:r>
      <w:r>
        <w:rPr>
          <w:rFonts w:ascii="Arial" w:cs="Arial" w:eastAsia="Arial" w:hAnsi="Arial"/>
          <w:sz w:val="14"/>
          <w:szCs w:val="14"/>
          <w:color w:val="auto"/>
        </w:rPr>
        <w:t>Underwritten Shares: [•]</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Option Shares: [•]</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Public Offering Price Per Share: $[•]</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0" w:name="page321"/>
    <w:bookmarkEnd w:id="320"/>
    <w:p>
      <w:pPr>
        <w:jc w:val="right"/>
        <w:spacing w:after="0"/>
        <w:rPr>
          <w:sz w:val="20"/>
          <w:szCs w:val="20"/>
          <w:color w:val="auto"/>
        </w:rPr>
      </w:pPr>
      <w:r>
        <w:rPr>
          <w:rFonts w:ascii="Arial" w:cs="Arial" w:eastAsia="Arial" w:hAnsi="Arial"/>
          <w:sz w:val="14"/>
          <w:szCs w:val="14"/>
          <w:color w:val="auto"/>
        </w:rPr>
        <w:t>Annex 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Written Testing-the-Waters Communications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1" w:name="page322"/>
    <w:bookmarkEnd w:id="321"/>
    <w:p>
      <w:pPr>
        <w:jc w:val="right"/>
        <w:spacing w:after="0"/>
        <w:rPr>
          <w:sz w:val="20"/>
          <w:szCs w:val="20"/>
          <w:color w:val="auto"/>
        </w:rPr>
      </w:pPr>
      <w:r>
        <w:rPr>
          <w:rFonts w:ascii="Arial" w:cs="Arial" w:eastAsia="Arial" w:hAnsi="Arial"/>
          <w:sz w:val="14"/>
          <w:szCs w:val="14"/>
          <w:color w:val="auto"/>
        </w:rPr>
        <w:t>ANNEX C</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Century Therapeutics, Inc.</w:t>
      </w:r>
    </w:p>
    <w:p>
      <w:pPr>
        <w:spacing w:after="0" w:line="195" w:lineRule="exact"/>
        <w:rPr>
          <w:sz w:val="20"/>
          <w:szCs w:val="20"/>
          <w:color w:val="auto"/>
        </w:rPr>
      </w:pPr>
    </w:p>
    <w:p>
      <w:pPr>
        <w:jc w:val="center"/>
        <w:ind w:right="1140"/>
        <w:spacing w:after="0"/>
        <w:rPr>
          <w:sz w:val="20"/>
          <w:szCs w:val="20"/>
          <w:color w:val="auto"/>
        </w:rPr>
      </w:pPr>
      <w:r>
        <w:rPr>
          <w:rFonts w:ascii="Arial" w:cs="Arial" w:eastAsia="Arial" w:hAnsi="Arial"/>
          <w:sz w:val="14"/>
          <w:szCs w:val="14"/>
          <w:u w:val="single" w:color="auto"/>
          <w:color w:val="auto"/>
        </w:rPr>
        <w:t>Pricing Term Sheet</w:t>
      </w:r>
    </w:p>
    <w:p>
      <w:pPr>
        <w:spacing w:after="0" w:line="18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[None]</w:t>
      </w:r>
    </w:p>
    <w:p>
      <w:pPr>
        <w:spacing w:after="0" w:line="35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13335</wp:posOffset>
            </wp:positionV>
            <wp:extent cx="716089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40"/>
          </w:cols>
          <w:pgMar w:left="1440" w:top="750" w:right="319"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color w:val="auto"/>
        </w:rPr>
        <w:t>Exhibit A</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Testing the waters authorization (to be delivered by the issuer to J.P. Morgan Securities LLC, BofA Securities, Inc., SVB Leerink LLC and Piper Sandler &amp; Co. in email or letter form)</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3"/>
          <w:szCs w:val="13"/>
          <w:color w:val="auto"/>
        </w:rPr>
        <w:t>In reliance on Section 5(d) of the Securities Act of 1933, as amended (the “Act”), Century Therapeutics, Inc. (the “Issuer”) hereby authorizes J.P. Morgan Securities LLC, BofA Securities, Inc., SVB Leerink LLC and Piper Sandler &amp; Co. (the “Representatives”) and their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The Issuer represents that it is an “emerging growth company” as defined in Section 2(a)(19) of the Act (“Emerging Growth Company”) and agrees to promptly notify the Representatives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Representatives and will promptly amend or supplement, at its own expense, such Written Testing-the-Waters Communication to eliminate or correct such untrue statement or omission.</w:t>
      </w:r>
    </w:p>
    <w:p>
      <w:pPr>
        <w:spacing w:after="0" w:line="134"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Nothing in this authorization is intended to limit or otherwise affect the ability of the Representatives and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the Representatives a written notice revoking this authorization. All notices as described herein shall be sent by email to the attention of [Federico Dagruma] at [federico.dagruma@jpmorgan.com], [Arvind Kush] at [arvind.kush@bofa.com], Patrick Morley at patrick.morley@svbleerink.com and [Mihir Mantri] at [mihir.mantri@psc.com] with CC to Richard D. Truesdell, Jr. at richard.truesdell@davispolk.com, Arisa Akashi at arisa.akashi@davispolk.com and Alistair Pimlott at alistair.pimlott@davispolk.com.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3" w:name="page324"/>
    <w:bookmarkEnd w:id="323"/>
    <w:p>
      <w:pPr>
        <w:jc w:val="right"/>
        <w:spacing w:after="0"/>
        <w:rPr>
          <w:sz w:val="20"/>
          <w:szCs w:val="20"/>
          <w:color w:val="auto"/>
        </w:rPr>
      </w:pPr>
      <w:r>
        <w:rPr>
          <w:rFonts w:ascii="Arial" w:cs="Arial" w:eastAsia="Arial" w:hAnsi="Arial"/>
          <w:sz w:val="14"/>
          <w:szCs w:val="14"/>
          <w:color w:val="auto"/>
        </w:rPr>
        <w:t>Exhibit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Waiver of Lock-up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J.P. MORGAN SECURITIES LLC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BOFA SECURITIES,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SVB LEERINK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PIPER SANDLER &amp; CO.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Century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Public Offering of Common Stock</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20__</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[Name and Address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Officer or Director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Requesting Waiver]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Dear Mr./Ms. [Name]:</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This letter is being delivered to you in connection with the offering by Century Therapeutics, Inc. (the “Company”) of ______ shares of common stock, $___ par value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of the Company and the lock-up letter dated__________________, 20__ (the “Lock-up Letter”), executed by you in connection with such offering, and your request for 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[waiver] [release] dated__________________, 20__, with respect to ______ shares of Common Stock (the “Shares”).</w:t>
      </w:r>
    </w:p>
    <w:p>
      <w:pPr>
        <w:spacing w:after="0" w:line="172" w:lineRule="exact"/>
        <w:rPr>
          <w:sz w:val="20"/>
          <w:szCs w:val="20"/>
          <w:color w:val="auto"/>
        </w:rPr>
      </w:pPr>
    </w:p>
    <w:p>
      <w:pPr>
        <w:jc w:val="both"/>
        <w:ind w:right="60" w:firstLine="514"/>
        <w:spacing w:after="0" w:line="282" w:lineRule="auto"/>
        <w:rPr>
          <w:sz w:val="20"/>
          <w:szCs w:val="20"/>
          <w:color w:val="auto"/>
        </w:rPr>
      </w:pPr>
      <w:r>
        <w:rPr>
          <w:rFonts w:ascii="Arial" w:cs="Arial" w:eastAsia="Arial" w:hAnsi="Arial"/>
          <w:sz w:val="13"/>
          <w:szCs w:val="13"/>
          <w:color w:val="auto"/>
        </w:rPr>
        <w:t xml:space="preserve">J.P. Morgan Securities LLC, BofA Securities, Inc., SVB Leerink LLC and Piper Sandler &amp; Co. hereby agree to [waive] [release] the transfer restrictions set forth in the Lock-up Letter, but only with respect to the Shares, effective __________________, 20__;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[waiver] [release] is conditioned on the Company announcing the impending [waiver] [release]</w:t>
      </w:r>
    </w:p>
    <w:p>
      <w:pPr>
        <w:spacing w:after="0" w:line="1" w:lineRule="exact"/>
        <w:rPr>
          <w:sz w:val="20"/>
          <w:szCs w:val="20"/>
          <w:color w:val="auto"/>
        </w:rPr>
      </w:pPr>
    </w:p>
    <w:p>
      <w:pPr>
        <w:ind w:right="220"/>
        <w:spacing w:after="0" w:line="270" w:lineRule="auto"/>
        <w:rPr>
          <w:sz w:val="20"/>
          <w:szCs w:val="20"/>
          <w:color w:val="auto"/>
        </w:rPr>
      </w:pPr>
      <w:r>
        <w:rPr>
          <w:rFonts w:ascii="Arial" w:cs="Arial" w:eastAsia="Arial" w:hAnsi="Arial"/>
          <w:sz w:val="14"/>
          <w:szCs w:val="14"/>
          <w:color w:val="auto"/>
        </w:rPr>
        <w:t>by press release through a major news service at least two business days before effectiveness of such [waiver] [release]. This letter will serve as notice to the Company of the impending [waiver] [release].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Except as expressly [waived] [released] hereby, the Lock-up Letter shall remain in full force and effect.</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Yours very truly,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4" w:name="page325"/>
    <w:bookmarkEnd w:id="324"/>
    <w:p>
      <w:pPr>
        <w:ind w:left="5640"/>
        <w:spacing w:after="0"/>
        <w:rPr>
          <w:sz w:val="20"/>
          <w:szCs w:val="20"/>
          <w:color w:val="auto"/>
        </w:rPr>
      </w:pPr>
      <w:r>
        <w:rPr>
          <w:rFonts w:ascii="Arial" w:cs="Arial" w:eastAsia="Arial" w:hAnsi="Arial"/>
          <w:sz w:val="13"/>
          <w:szCs w:val="13"/>
          <w:b w:val="1"/>
          <w:bCs w:val="1"/>
          <w:color w:val="auto"/>
        </w:rPr>
        <w:t>[Signature of J.P. Morgan Securities LLC Representative]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[Name of J.P. Morgan Securities LLC Representative]</w:t>
      </w:r>
    </w:p>
    <w:p>
      <w:pPr>
        <w:spacing w:after="0" w:line="365"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[Signature of BofA Securities, Inc. Representative]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[Name of BofA Securities, Inc. Representative]</w:t>
      </w:r>
    </w:p>
    <w:p>
      <w:pPr>
        <w:spacing w:after="0" w:line="353"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[Signature of SVB Leerink LLC Representative]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[Name of SVB Leerink LLC Representative]</w:t>
      </w:r>
    </w:p>
    <w:p>
      <w:pPr>
        <w:spacing w:after="0" w:line="353"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[Signature of Piper Sandler &amp; Co. Representative]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[Name of Piper Sandler &amp; Co. Representative]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cc: Company</w:t>
      </w: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59"/>
          </w:cols>
          <w:pgMar w:left="300" w:top="746" w:right="1440" w:bottom="1440" w:gutter="0" w:footer="0" w:header="0"/>
        </w:sectPr>
      </w:pPr>
    </w:p>
    <w:bookmarkStart w:id="325" w:name="page326"/>
    <w:bookmarkEnd w:id="325"/>
    <w:p>
      <w:pPr>
        <w:jc w:val="right"/>
        <w:spacing w:after="0"/>
        <w:rPr>
          <w:sz w:val="20"/>
          <w:szCs w:val="20"/>
          <w:color w:val="auto"/>
        </w:rPr>
      </w:pPr>
      <w:r>
        <w:rPr>
          <w:rFonts w:ascii="Arial" w:cs="Arial" w:eastAsia="Arial" w:hAnsi="Arial"/>
          <w:sz w:val="14"/>
          <w:szCs w:val="14"/>
          <w:color w:val="auto"/>
        </w:rPr>
        <w:t>Exhibit 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Century Therapeutics,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2021</w:t>
      </w:r>
    </w:p>
    <w:p>
      <w:pPr>
        <w:spacing w:after="0" w:line="172"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Century Therapeutics, Inc. (“Company”) announced today that J.P. Morgan Securities LLC, BofA Securities, Inc., SVB Leerink LLC and Piper Sandler &amp; Co., the representatives of the underwriters in the Company’s recent public sale of [●] shares of common stock, is waiving a lock-up restriction with respect to [●] shares of the Company’s common stock held by [certain officers or directors] [an officer or director] of the Company. The waiver will take effect on [●], 2021, and the shares may be sold on or after such date.</w:t>
      </w:r>
    </w:p>
    <w:p>
      <w:pPr>
        <w:spacing w:after="0" w:line="138"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6" w:name="page327"/>
    <w:bookmarkEnd w:id="326"/>
    <w:p>
      <w:pPr>
        <w:jc w:val="right"/>
        <w:spacing w:after="0"/>
        <w:rPr>
          <w:sz w:val="20"/>
          <w:szCs w:val="20"/>
          <w:color w:val="auto"/>
        </w:rPr>
      </w:pPr>
      <w:r>
        <w:rPr>
          <w:rFonts w:ascii="Arial" w:cs="Arial" w:eastAsia="Arial" w:hAnsi="Arial"/>
          <w:sz w:val="14"/>
          <w:szCs w:val="14"/>
          <w:color w:val="auto"/>
        </w:rPr>
        <w:t>Exhibit D</w:t>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FORM OF LOCK-UP AGREEMENT</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[To be circulated separately and dropped in when agreed]</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13335</wp:posOffset>
            </wp:positionV>
            <wp:extent cx="716089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140"/>
          </w:cols>
          <w:pgMar w:left="1440" w:top="750" w:right="319" w:bottom="1440" w:gutter="0" w:footer="0" w:header="0"/>
        </w:sectPr>
      </w:pPr>
    </w:p>
    <w:bookmarkStart w:id="327" w:name="page328"/>
    <w:bookmarkEnd w:id="327"/>
    <w:p>
      <w:pPr>
        <w:jc w:val="right"/>
        <w:spacing w:after="0"/>
        <w:rPr>
          <w:sz w:val="20"/>
          <w:szCs w:val="20"/>
          <w:color w:val="auto"/>
        </w:rPr>
      </w:pPr>
      <w:r>
        <w:rPr>
          <w:rFonts w:ascii="Arial" w:cs="Arial" w:eastAsia="Arial" w:hAnsi="Arial"/>
          <w:sz w:val="17"/>
          <w:szCs w:val="17"/>
          <w:b w:val="1"/>
          <w:bCs w:val="1"/>
          <w:color w:val="auto"/>
        </w:rPr>
        <w:t>Exhibit 3.2</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CERTIFICATE OF AMENDMENT OF</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AMENDED AND RESTATED CERTIFICATE OF INCORPORATION OF</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CENTURY THERAPEUTICS, INC.</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Century Therapeutics, Inc., a corporation duly organized and existing under the General Corporation Law of the State of Delaware (the “</w:t>
      </w:r>
      <w:r>
        <w:rPr>
          <w:rFonts w:ascii="Arial" w:cs="Arial" w:eastAsia="Arial" w:hAnsi="Arial"/>
          <w:sz w:val="14"/>
          <w:szCs w:val="14"/>
          <w:b w:val="1"/>
          <w:bCs w:val="1"/>
          <w:color w:val="auto"/>
        </w:rPr>
        <w:t>Corporation</w:t>
      </w:r>
      <w:r>
        <w:rPr>
          <w:rFonts w:ascii="Arial" w:cs="Arial" w:eastAsia="Arial" w:hAnsi="Arial"/>
          <w:sz w:val="14"/>
          <w:szCs w:val="14"/>
          <w:color w:val="auto"/>
        </w:rPr>
        <w:t>”), does hereby certify that:</w:t>
      </w:r>
    </w:p>
    <w:p>
      <w:pPr>
        <w:spacing w:after="0" w:line="186" w:lineRule="exact"/>
        <w:rPr>
          <w:sz w:val="20"/>
          <w:szCs w:val="20"/>
          <w:color w:val="auto"/>
        </w:rPr>
      </w:pPr>
    </w:p>
    <w:p>
      <w:pPr>
        <w:ind w:right="80" w:firstLine="520"/>
        <w:spacing w:after="0" w:line="285" w:lineRule="auto"/>
        <w:tabs>
          <w:tab w:leader="none" w:pos="774"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Amended and Restated Certificate of Incorporation of the Corporation is hereby amended by inserting the following paragraph immediately following the second paragraph of Article Fourth Section A thereof:</w:t>
      </w:r>
    </w:p>
    <w:p>
      <w:pPr>
        <w:spacing w:after="0" w:line="196" w:lineRule="exact"/>
        <w:rPr>
          <w:sz w:val="20"/>
          <w:szCs w:val="20"/>
          <w:color w:val="auto"/>
        </w:rPr>
      </w:pPr>
    </w:p>
    <w:p>
      <w:pPr>
        <w:jc w:val="both"/>
        <w:ind w:left="520" w:right="600"/>
        <w:spacing w:after="0" w:line="279" w:lineRule="auto"/>
        <w:rPr>
          <w:sz w:val="20"/>
          <w:szCs w:val="20"/>
          <w:color w:val="auto"/>
        </w:rPr>
      </w:pPr>
      <w:r>
        <w:rPr>
          <w:rFonts w:ascii="Arial" w:cs="Arial" w:eastAsia="Arial" w:hAnsi="Arial"/>
          <w:sz w:val="13"/>
          <w:szCs w:val="13"/>
          <w:color w:val="auto"/>
        </w:rPr>
        <w:t>“Without any other action on the part of the Corporation or any other person, effective immediately upon the filing of this Certificate of Amendment to the Amended and Restated Certificate of Incorporation of the Corporation (the “</w:t>
      </w:r>
      <w:r>
        <w:rPr>
          <w:rFonts w:ascii="Arial" w:cs="Arial" w:eastAsia="Arial" w:hAnsi="Arial"/>
          <w:sz w:val="13"/>
          <w:szCs w:val="13"/>
          <w:b w:val="1"/>
          <w:bCs w:val="1"/>
          <w:color w:val="auto"/>
        </w:rPr>
        <w:t>Effective Time</w:t>
      </w:r>
      <w:r>
        <w:rPr>
          <w:rFonts w:ascii="Arial" w:cs="Arial" w:eastAsia="Arial" w:hAnsi="Arial"/>
          <w:sz w:val="13"/>
          <w:szCs w:val="13"/>
          <w:color w:val="auto"/>
        </w:rPr>
        <w:t>”), each 2.51610 shares of the Corporation’s Common Stock issued and outstanding (the “</w:t>
      </w:r>
      <w:r>
        <w:rPr>
          <w:rFonts w:ascii="Arial" w:cs="Arial" w:eastAsia="Arial" w:hAnsi="Arial"/>
          <w:sz w:val="13"/>
          <w:szCs w:val="13"/>
          <w:b w:val="1"/>
          <w:bCs w:val="1"/>
          <w:color w:val="auto"/>
        </w:rPr>
        <w:t>Old</w:t>
      </w:r>
      <w:r>
        <w:rPr>
          <w:rFonts w:ascii="Arial" w:cs="Arial" w:eastAsia="Arial" w:hAnsi="Arial"/>
          <w:sz w:val="13"/>
          <w:szCs w:val="13"/>
          <w:color w:val="auto"/>
        </w:rPr>
        <w:t xml:space="preserve"> </w:t>
      </w:r>
      <w:r>
        <w:rPr>
          <w:rFonts w:ascii="Arial" w:cs="Arial" w:eastAsia="Arial" w:hAnsi="Arial"/>
          <w:sz w:val="13"/>
          <w:szCs w:val="13"/>
          <w:b w:val="1"/>
          <w:bCs w:val="1"/>
          <w:color w:val="auto"/>
        </w:rPr>
        <w:t>Common Stock</w:t>
      </w:r>
      <w:r>
        <w:rPr>
          <w:rFonts w:ascii="Arial" w:cs="Arial" w:eastAsia="Arial" w:hAnsi="Arial"/>
          <w:sz w:val="13"/>
          <w:szCs w:val="13"/>
          <w:color w:val="auto"/>
        </w:rPr>
        <w:t>”) shall automatically, without further action on the part of the Corporation or any holder of Old Common Stock, convert into one (1) fully paid and</w:t>
      </w:r>
      <w:r>
        <w:rPr>
          <w:rFonts w:ascii="Arial" w:cs="Arial" w:eastAsia="Arial" w:hAnsi="Arial"/>
          <w:sz w:val="13"/>
          <w:szCs w:val="13"/>
          <w:b w:val="1"/>
          <w:bCs w:val="1"/>
          <w:color w:val="auto"/>
        </w:rPr>
        <w:t xml:space="preserve"> </w:t>
      </w:r>
      <w:r>
        <w:rPr>
          <w:rFonts w:ascii="Arial" w:cs="Arial" w:eastAsia="Arial" w:hAnsi="Arial"/>
          <w:sz w:val="13"/>
          <w:szCs w:val="13"/>
          <w:color w:val="auto"/>
        </w:rPr>
        <w:t>nonassessable share of Common Stock (the “</w:t>
      </w:r>
      <w:r>
        <w:rPr>
          <w:rFonts w:ascii="Arial" w:cs="Arial" w:eastAsia="Arial" w:hAnsi="Arial"/>
          <w:sz w:val="13"/>
          <w:szCs w:val="13"/>
          <w:b w:val="1"/>
          <w:bCs w:val="1"/>
          <w:color w:val="auto"/>
        </w:rPr>
        <w:t>New Common Stock</w:t>
      </w:r>
      <w:r>
        <w:rPr>
          <w:rFonts w:ascii="Arial" w:cs="Arial" w:eastAsia="Arial" w:hAnsi="Arial"/>
          <w:sz w:val="13"/>
          <w:szCs w:val="13"/>
          <w:color w:val="auto"/>
        </w:rPr>
        <w:t>”). The conversion described in the foregoing sentence shall be collectively referred to herein as the “</w:t>
      </w:r>
      <w:r>
        <w:rPr>
          <w:rFonts w:ascii="Arial" w:cs="Arial" w:eastAsia="Arial" w:hAnsi="Arial"/>
          <w:sz w:val="13"/>
          <w:szCs w:val="13"/>
          <w:b w:val="1"/>
          <w:bCs w:val="1"/>
          <w:color w:val="auto"/>
        </w:rPr>
        <w:t>Reverse Stock Split</w:t>
      </w:r>
      <w:r>
        <w:rPr>
          <w:rFonts w:ascii="Arial" w:cs="Arial" w:eastAsia="Arial" w:hAnsi="Arial"/>
          <w:sz w:val="13"/>
          <w:szCs w:val="13"/>
          <w:color w:val="auto"/>
        </w:rPr>
        <w:t>”. Any shares of Old Common Stock currently held in the Corporation’s treasury shall also be converted into Common Stock in accordance with the Reverse Stock Split. No fractional shares of Common Stock shall be issued upon the Reverse Stock Split. In lieu of any fractional shares to which a holder would otherwise be entitled, the Corporation shall pay cash equal to such fraction multiplied by the fair market value of a share of the Common Stock as determined in good faith by the board of directors of the Corporation. From and after the Effective Time, any stock certificates that, immediately prior to the Effective Time, represented the shares of Old Common Stock shall, from and after the Effective Time, automatically and without the necessity of presenting the same for exchange, represent the number of shares of New Common Stock into which such Old Common Stock has been converted in the Reverse Stock Split pursuant to this Certificate of Amendment. Whether or not fractional shares will be issuable upon the Reverse Stock Split shall be determined on the basis of the number of shares of Old Common Stock represented by each certificate of Old Common Stock at the time of the Reverse Stock Split and the number of shares of New Common Stock issuable with respect to each such certificate upon the Reverse Stock Split.”</w:t>
      </w:r>
    </w:p>
    <w:p>
      <w:pPr>
        <w:spacing w:after="0" w:line="206" w:lineRule="exact"/>
        <w:rPr>
          <w:sz w:val="20"/>
          <w:szCs w:val="20"/>
          <w:color w:val="auto"/>
        </w:rPr>
      </w:pPr>
    </w:p>
    <w:p>
      <w:pPr>
        <w:ind w:right="80" w:firstLine="520"/>
        <w:spacing w:after="0" w:line="285" w:lineRule="auto"/>
        <w:tabs>
          <w:tab w:leader="none" w:pos="817"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foregoing amendment was duly adopted in accordance with the provisions of Sections 242 and 228 (by the written consent of the stockholders of the Corporation)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321310</wp:posOffset>
            </wp:positionV>
            <wp:extent cx="716089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00"/>
          </w:cols>
          <w:pgMar w:left="380" w:top="310" w:right="319" w:bottom="1440" w:gutter="0" w:footer="0" w:header="0"/>
        </w:sectPr>
      </w:pPr>
    </w:p>
    <w:bookmarkStart w:id="328" w:name="page329"/>
    <w:bookmarkEnd w:id="328"/>
    <w:p>
      <w:pPr>
        <w:ind w:left="600"/>
        <w:spacing w:after="0"/>
        <w:rPr>
          <w:sz w:val="20"/>
          <w:szCs w:val="20"/>
          <w:color w:val="auto"/>
        </w:rPr>
      </w:pPr>
      <w:r>
        <w:rPr>
          <w:rFonts w:ascii="Arial" w:cs="Arial" w:eastAsia="Arial" w:hAnsi="Arial"/>
          <w:sz w:val="14"/>
          <w:szCs w:val="14"/>
          <w:color w:val="auto"/>
        </w:rPr>
        <w:t>IN WITNESS WHEREOF, Century Therapeutics, Inc. has caused this Certificate to be executed by its duly authorized officer on this 11</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June, 2021.</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ind w:left="56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51"/>
        </w:trPr>
        <w:tc>
          <w:tcPr>
            <w:tcW w:w="6100" w:type="dxa"/>
            <w:vAlign w:val="bottom"/>
          </w:tcPr>
          <w:p>
            <w:pPr>
              <w:ind w:left="5640"/>
              <w:spacing w:after="0" w:line="151" w:lineRule="exact"/>
              <w:rPr>
                <w:sz w:val="20"/>
                <w:szCs w:val="20"/>
                <w:color w:val="auto"/>
              </w:rPr>
            </w:pPr>
            <w:r>
              <w:rPr>
                <w:rFonts w:ascii="Arial" w:cs="Arial" w:eastAsia="Arial" w:hAnsi="Arial"/>
                <w:sz w:val="14"/>
                <w:szCs w:val="14"/>
                <w:color w:val="auto"/>
              </w:rPr>
              <w:t>Name:</w:t>
            </w:r>
          </w:p>
        </w:tc>
        <w:tc>
          <w:tcPr>
            <w:tcW w:w="5180" w:type="dxa"/>
            <w:vAlign w:val="bottom"/>
          </w:tcPr>
          <w:p>
            <w:pPr>
              <w:spacing w:after="0" w:line="151" w:lineRule="exact"/>
              <w:rPr>
                <w:sz w:val="20"/>
                <w:szCs w:val="20"/>
                <w:color w:val="auto"/>
              </w:rPr>
            </w:pPr>
            <w:r>
              <w:rPr>
                <w:rFonts w:ascii="Arial" w:cs="Arial" w:eastAsia="Arial" w:hAnsi="Arial"/>
                <w:sz w:val="14"/>
                <w:szCs w:val="14"/>
                <w:color w:val="auto"/>
              </w:rPr>
              <w:t>Osvaldo Flores, Ph.D.</w:t>
            </w:r>
          </w:p>
        </w:tc>
      </w:tr>
      <w:tr>
        <w:trPr>
          <w:trHeight w:val="181"/>
        </w:trPr>
        <w:tc>
          <w:tcPr>
            <w:tcW w:w="6100" w:type="dxa"/>
            <w:vAlign w:val="bottom"/>
          </w:tcPr>
          <w:p>
            <w:pPr>
              <w:ind w:left="5640"/>
              <w:spacing w:after="0"/>
              <w:rPr>
                <w:sz w:val="20"/>
                <w:szCs w:val="20"/>
                <w:color w:val="auto"/>
              </w:rPr>
            </w:pPr>
            <w:r>
              <w:rPr>
                <w:rFonts w:ascii="Arial" w:cs="Arial" w:eastAsia="Arial" w:hAnsi="Arial"/>
                <w:sz w:val="14"/>
                <w:szCs w:val="14"/>
                <w:color w:val="auto"/>
              </w:rPr>
              <w:t>Title:</w:t>
            </w:r>
          </w:p>
        </w:tc>
        <w:tc>
          <w:tcPr>
            <w:tcW w:w="518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536"/>
        </w:trPr>
        <w:tc>
          <w:tcPr>
            <w:tcW w:w="61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2" w:right="319" w:bottom="1440" w:gutter="0" w:footer="0" w:header="0"/>
        </w:sectPr>
      </w:pPr>
    </w:p>
    <w:bookmarkStart w:id="329" w:name="page330"/>
    <w:bookmarkEnd w:id="329"/>
    <w:p>
      <w:pPr>
        <w:jc w:val="right"/>
        <w:spacing w:after="0"/>
        <w:rPr>
          <w:sz w:val="20"/>
          <w:szCs w:val="20"/>
          <w:color w:val="auto"/>
        </w:rPr>
      </w:pPr>
      <w:r>
        <w:rPr>
          <w:rFonts w:ascii="Arial" w:cs="Arial" w:eastAsia="Arial" w:hAnsi="Arial"/>
          <w:sz w:val="14"/>
          <w:szCs w:val="14"/>
          <w:b w:val="1"/>
          <w:bCs w:val="1"/>
          <w:color w:val="auto"/>
        </w:rPr>
        <w:t>Exhibit 3.3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SECOND AMENDED AND RESTATED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INCORPORATION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Century Therapeutics, Inc., a corporation organized and existing under the laws of the State of Delaware (the “Corporation”), hereby certifies as follows:</w:t>
      </w:r>
    </w:p>
    <w:p>
      <w:pPr>
        <w:spacing w:after="0" w:line="182" w:lineRule="exact"/>
        <w:rPr>
          <w:sz w:val="20"/>
          <w:szCs w:val="20"/>
          <w:color w:val="auto"/>
        </w:rPr>
      </w:pPr>
    </w:p>
    <w:p>
      <w:pPr>
        <w:ind w:firstLine="1034"/>
        <w:spacing w:after="0" w:line="285" w:lineRule="auto"/>
        <w:tabs>
          <w:tab w:leader="none" w:pos="16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name of the Corporation is Century Therapeutics, Inc. The date of the filing of its original Certificate of Incorporation with the Secretary of State of the State of Delaware was February 25, 2021.</w:t>
      </w:r>
    </w:p>
    <w:p>
      <w:pPr>
        <w:spacing w:after="0" w:line="131" w:lineRule="exact"/>
        <w:rPr>
          <w:rFonts w:ascii="Arial" w:cs="Arial" w:eastAsia="Arial" w:hAnsi="Arial"/>
          <w:sz w:val="14"/>
          <w:szCs w:val="14"/>
          <w:color w:val="auto"/>
        </w:rPr>
      </w:pPr>
    </w:p>
    <w:p>
      <w:pPr>
        <w:ind w:firstLine="1034"/>
        <w:spacing w:after="0" w:line="325" w:lineRule="auto"/>
        <w:tabs>
          <w:tab w:leader="none" w:pos="1752"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This Second Amended and Restated Certificate of Incorporation (the “Certificate”) amends, restates and integrates the provisions of the Amended and Restated Certificate of Incorporation, and was duly adopted in accordance with the provisions of Sections 242 and 245 of the General Corporation Law of the State of Delaware (the “DGCL”).</w:t>
      </w:r>
    </w:p>
    <w:p>
      <w:pPr>
        <w:spacing w:after="0" w:line="109" w:lineRule="exact"/>
        <w:rPr>
          <w:rFonts w:ascii="Arial" w:cs="Arial" w:eastAsia="Arial" w:hAnsi="Arial"/>
          <w:sz w:val="13"/>
          <w:szCs w:val="13"/>
          <w:color w:val="auto"/>
        </w:rPr>
      </w:pPr>
    </w:p>
    <w:p>
      <w:pPr>
        <w:ind w:left="1540" w:hanging="506"/>
        <w:spacing w:after="0"/>
        <w:tabs>
          <w:tab w:leader="none" w:pos="154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This Certificate was approved by the holders of the requisite number of shares of this Corporation in accordance with Section 228 of the DGCL.</w:t>
      </w:r>
    </w:p>
    <w:p>
      <w:pPr>
        <w:spacing w:after="0" w:line="181" w:lineRule="exact"/>
        <w:rPr>
          <w:rFonts w:ascii="Arial" w:cs="Arial" w:eastAsia="Arial" w:hAnsi="Arial"/>
          <w:sz w:val="14"/>
          <w:szCs w:val="14"/>
          <w:color w:val="auto"/>
        </w:rPr>
      </w:pPr>
    </w:p>
    <w:p>
      <w:pPr>
        <w:ind w:left="1560" w:hanging="526"/>
        <w:spacing w:after="0"/>
        <w:tabs>
          <w:tab w:leader="none" w:pos="156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text of the Second Amended and Restated Certificate of Incorporation is hereby amended and restated in its entirety to provide as herein set forth in full.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w:t>
      </w:r>
    </w:p>
    <w:p>
      <w:pPr>
        <w:spacing w:after="0" w:line="18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name of the Corporation is Century Therapeutics,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The address of the Corporation’s registered office in the State of Delaware is 1313 N Market St # 5100, in the City of Wilmington, County of New Castle, 19801. The name of its registered agent at such address is PHS Corporate Services,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III</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The purpose of the Corporation is to engage in any lawful act or activity for which corporations may be organized under the DGCL, as the same exists or as may hereafter be amended from time to time.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IV</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Capital Stock</w:t>
      </w:r>
    </w:p>
    <w:p>
      <w:pPr>
        <w:spacing w:after="0" w:line="18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The total number of shares of capital stock which the Corporation shall have authority to issue is 310,000,000 of which (i) 300,000,000 shares shall be a class designated as common stock, par value $0.0001 per share (the “Common Stock”), and (ii) 10,000,000 shares shall be a class designated as undesignated preferred stock, par value $0.0001 per share (the “Undesignated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6089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0" w:name="page331"/>
    <w:bookmarkEnd w:id="330"/>
    <w:p>
      <w:pPr>
        <w:jc w:val="both"/>
        <w:ind w:firstLine="1028"/>
        <w:spacing w:after="0" w:line="270" w:lineRule="auto"/>
        <w:rPr>
          <w:sz w:val="20"/>
          <w:szCs w:val="20"/>
          <w:color w:val="auto"/>
        </w:rPr>
      </w:pPr>
      <w:r>
        <w:rPr>
          <w:rFonts w:ascii="Arial" w:cs="Arial" w:eastAsia="Arial" w:hAnsi="Arial"/>
          <w:sz w:val="14"/>
          <w:szCs w:val="14"/>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42" w:lineRule="exact"/>
        <w:rPr>
          <w:sz w:val="20"/>
          <w:szCs w:val="20"/>
          <w:color w:val="auto"/>
        </w:rPr>
      </w:pPr>
    </w:p>
    <w:p>
      <w:pPr>
        <w:ind w:right="100" w:firstLine="1028"/>
        <w:spacing w:after="0" w:line="285" w:lineRule="auto"/>
        <w:rPr>
          <w:sz w:val="20"/>
          <w:szCs w:val="20"/>
          <w:color w:val="auto"/>
        </w:rPr>
      </w:pPr>
      <w:r>
        <w:rPr>
          <w:rFonts w:ascii="Arial" w:cs="Arial" w:eastAsia="Arial" w:hAnsi="Arial"/>
          <w:sz w:val="14"/>
          <w:szCs w:val="14"/>
          <w:color w:val="auto"/>
        </w:rPr>
        <w:t>The powers, preferences and rights of, and the qualifications, limitations and restrictions upon, each class or series of stock shall be determined in accordance with, or as set forth below in, this Article IV.</w:t>
      </w:r>
    </w:p>
    <w:p>
      <w:pPr>
        <w:spacing w:after="0" w:line="132" w:lineRule="exact"/>
        <w:rPr>
          <w:sz w:val="20"/>
          <w:szCs w:val="20"/>
          <w:color w:val="auto"/>
        </w:rPr>
      </w:pPr>
    </w:p>
    <w:p>
      <w:pPr>
        <w:ind w:left="5380" w:hanging="629"/>
        <w:spacing w:after="0"/>
        <w:tabs>
          <w:tab w:leader="none" w:pos="53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COMMON STOCK</w:t>
      </w:r>
    </w:p>
    <w:p>
      <w:pPr>
        <w:spacing w:after="0" w:line="182" w:lineRule="exact"/>
        <w:rPr>
          <w:sz w:val="20"/>
          <w:szCs w:val="20"/>
          <w:color w:val="auto"/>
        </w:rPr>
      </w:pPr>
    </w:p>
    <w:p>
      <w:pPr>
        <w:ind w:firstLine="1028"/>
        <w:spacing w:after="0" w:line="285" w:lineRule="auto"/>
        <w:rPr>
          <w:sz w:val="20"/>
          <w:szCs w:val="20"/>
          <w:color w:val="auto"/>
        </w:rPr>
      </w:pPr>
      <w:r>
        <w:rPr>
          <w:rFonts w:ascii="Arial" w:cs="Arial" w:eastAsia="Arial" w:hAnsi="Arial"/>
          <w:sz w:val="14"/>
          <w:szCs w:val="14"/>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32" w:lineRule="exact"/>
        <w:rPr>
          <w:sz w:val="20"/>
          <w:szCs w:val="20"/>
          <w:color w:val="auto"/>
        </w:rPr>
      </w:pPr>
    </w:p>
    <w:p>
      <w:pPr>
        <w:jc w:val="both"/>
        <w:ind w:firstLine="1548"/>
        <w:spacing w:after="0" w:line="285" w:lineRule="auto"/>
        <w:tabs>
          <w:tab w:leader="none" w:pos="2104" w:val="left"/>
        </w:tabs>
        <w:numPr>
          <w:ilvl w:val="0"/>
          <w:numId w:val="190"/>
        </w:numPr>
        <w:rPr>
          <w:rFonts w:ascii="Arial" w:cs="Arial" w:eastAsia="Arial" w:hAnsi="Arial"/>
          <w:sz w:val="13"/>
          <w:szCs w:val="13"/>
          <w:color w:val="auto"/>
        </w:rPr>
      </w:pPr>
      <w:r>
        <w:rPr>
          <w:rFonts w:ascii="Arial" w:cs="Arial" w:eastAsia="Arial" w:hAnsi="Arial"/>
          <w:sz w:val="13"/>
          <w:szCs w:val="13"/>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34" w:lineRule="exact"/>
        <w:rPr>
          <w:rFonts w:ascii="Arial" w:cs="Arial" w:eastAsia="Arial" w:hAnsi="Arial"/>
          <w:sz w:val="13"/>
          <w:szCs w:val="13"/>
          <w:color w:val="auto"/>
        </w:rPr>
      </w:pPr>
    </w:p>
    <w:p>
      <w:pPr>
        <w:ind w:firstLine="1548"/>
        <w:spacing w:after="0" w:line="325" w:lineRule="auto"/>
        <w:tabs>
          <w:tab w:leader="none" w:pos="2187" w:val="left"/>
        </w:tabs>
        <w:numPr>
          <w:ilvl w:val="0"/>
          <w:numId w:val="190"/>
        </w:numPr>
        <w:rPr>
          <w:rFonts w:ascii="Arial" w:cs="Arial" w:eastAsia="Arial" w:hAnsi="Arial"/>
          <w:sz w:val="13"/>
          <w:szCs w:val="13"/>
          <w:color w:val="auto"/>
        </w:rPr>
      </w:pPr>
      <w:r>
        <w:rPr>
          <w:rFonts w:ascii="Arial" w:cs="Arial" w:eastAsia="Arial" w:hAnsi="Arial"/>
          <w:sz w:val="13"/>
          <w:szCs w:val="13"/>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subject to the requirements of applicable law; and</w:t>
      </w:r>
    </w:p>
    <w:p>
      <w:pPr>
        <w:spacing w:after="0" w:line="109" w:lineRule="exact"/>
        <w:rPr>
          <w:rFonts w:ascii="Arial" w:cs="Arial" w:eastAsia="Arial" w:hAnsi="Arial"/>
          <w:sz w:val="13"/>
          <w:szCs w:val="13"/>
          <w:color w:val="auto"/>
        </w:rPr>
      </w:pPr>
    </w:p>
    <w:p>
      <w:pPr>
        <w:ind w:left="2160" w:hanging="612"/>
        <w:spacing w:after="0"/>
        <w:tabs>
          <w:tab w:leader="none" w:pos="216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upon the voluntary or involuntary liquidation, dissolution or winding up of the Corporation, the net assets of the Corporation shall be distributed pro rata to the</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holders of the Common Stock.</w:t>
      </w:r>
    </w:p>
    <w:p>
      <w:pPr>
        <w:spacing w:after="0" w:line="171" w:lineRule="exact"/>
        <w:rPr>
          <w:rFonts w:ascii="Arial" w:cs="Arial" w:eastAsia="Arial" w:hAnsi="Arial"/>
          <w:sz w:val="13"/>
          <w:szCs w:val="13"/>
          <w:color w:val="auto"/>
        </w:rPr>
      </w:pPr>
    </w:p>
    <w:p>
      <w:pPr>
        <w:ind w:left="4740" w:hanging="625"/>
        <w:spacing w:after="0"/>
        <w:tabs>
          <w:tab w:leader="none" w:pos="474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UNDESIGNATED PREFERRED STOCK</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the DGCL,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4"/>
          <w:szCs w:val="14"/>
          <w:color w:val="auto"/>
        </w:rPr>
        <w:t>ARTICLE V</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Stockholder Action</w:t>
      </w:r>
    </w:p>
    <w:p>
      <w:pPr>
        <w:spacing w:after="0" w:line="182" w:lineRule="exact"/>
        <w:rPr>
          <w:sz w:val="20"/>
          <w:szCs w:val="20"/>
          <w:color w:val="auto"/>
        </w:rPr>
      </w:pPr>
    </w:p>
    <w:p>
      <w:pPr>
        <w:ind w:firstLine="1034"/>
        <w:spacing w:after="0" w:line="325" w:lineRule="auto"/>
        <w:tabs>
          <w:tab w:leader="none" w:pos="1660" w:val="left"/>
        </w:tabs>
        <w:numPr>
          <w:ilvl w:val="1"/>
          <w:numId w:val="191"/>
        </w:numPr>
        <w:rPr>
          <w:rFonts w:ascii="Arial" w:cs="Arial" w:eastAsia="Arial" w:hAnsi="Arial"/>
          <w:sz w:val="13"/>
          <w:szCs w:val="13"/>
          <w:color w:val="auto"/>
        </w:rPr>
      </w:pPr>
      <w:r>
        <w:rPr>
          <w:rFonts w:ascii="Arial" w:cs="Arial" w:eastAsia="Arial" w:hAnsi="Arial"/>
          <w:sz w:val="13"/>
          <w:szCs w:val="13"/>
          <w:u w:val="single" w:color="auto"/>
          <w:color w:val="auto"/>
        </w:rPr>
        <w:t>Action Without Meeting</w:t>
      </w:r>
      <w:r>
        <w:rPr>
          <w:rFonts w:ascii="Arial" w:cs="Arial" w:eastAsia="Arial" w:hAnsi="Arial"/>
          <w:sz w:val="13"/>
          <w:szCs w:val="13"/>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09" w:lineRule="exact"/>
        <w:rPr>
          <w:rFonts w:ascii="Arial" w:cs="Arial" w:eastAsia="Arial" w:hAnsi="Arial"/>
          <w:sz w:val="13"/>
          <w:szCs w:val="13"/>
          <w:color w:val="auto"/>
        </w:rPr>
      </w:pPr>
    </w:p>
    <w:p>
      <w:pPr>
        <w:jc w:val="both"/>
        <w:ind w:firstLine="1034"/>
        <w:spacing w:after="0" w:line="306" w:lineRule="auto"/>
        <w:tabs>
          <w:tab w:leader="none" w:pos="1560" w:val="left"/>
        </w:tabs>
        <w:numPr>
          <w:ilvl w:val="1"/>
          <w:numId w:val="191"/>
        </w:numPr>
        <w:rPr>
          <w:rFonts w:ascii="Arial" w:cs="Arial" w:eastAsia="Arial" w:hAnsi="Arial"/>
          <w:sz w:val="12"/>
          <w:szCs w:val="12"/>
          <w:color w:val="auto"/>
        </w:rPr>
      </w:pPr>
      <w:r>
        <w:rPr>
          <w:rFonts w:ascii="Arial" w:cs="Arial" w:eastAsia="Arial" w:hAnsi="Arial"/>
          <w:sz w:val="12"/>
          <w:szCs w:val="12"/>
          <w:u w:val="single" w:color="auto"/>
          <w:color w:val="auto"/>
        </w:rPr>
        <w:t>Special Meetings</w:t>
      </w:r>
      <w:r>
        <w:rPr>
          <w:rFonts w:ascii="Arial" w:cs="Arial" w:eastAsia="Arial" w:hAnsi="Arial"/>
          <w:sz w:val="12"/>
          <w:szCs w:val="12"/>
          <w:color w:val="auto"/>
        </w:rPr>
        <w:t>. Except as otherwise required by statute and subject to the rights, if any, of the holders of any series of Undesignated Preferred Stock, special meetings of the stockholders of the Corporation may be called only by (i) the Board of Directors acting pursuant to a resolution approved by the affirmative vote of a majority of the Directors then in office,</w:t>
      </w:r>
    </w:p>
    <w:p>
      <w:pPr>
        <w:ind w:firstLine="6"/>
        <w:spacing w:after="0" w:line="270" w:lineRule="auto"/>
        <w:tabs>
          <w:tab w:leader="none" w:pos="213"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Chairperson of the Board, or (iii) the Chief Executive Officer of the Corporation,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41" w:lineRule="exact"/>
        <w:rPr>
          <w:rFonts w:ascii="Arial" w:cs="Arial" w:eastAsia="Arial" w:hAnsi="Arial"/>
          <w:sz w:val="14"/>
          <w:szCs w:val="14"/>
          <w:color w:val="auto"/>
        </w:rPr>
      </w:pPr>
    </w:p>
    <w:p>
      <w:pPr>
        <w:ind w:firstLine="1034"/>
        <w:spacing w:after="0" w:line="285" w:lineRule="auto"/>
        <w:tabs>
          <w:tab w:leader="none" w:pos="1724" w:val="left"/>
        </w:tabs>
        <w:numPr>
          <w:ilvl w:val="1"/>
          <w:numId w:val="192"/>
        </w:numPr>
        <w:rPr>
          <w:rFonts w:ascii="Arial" w:cs="Arial" w:eastAsia="Arial" w:hAnsi="Arial"/>
          <w:sz w:val="14"/>
          <w:szCs w:val="14"/>
          <w:color w:val="auto"/>
        </w:rPr>
      </w:pPr>
      <w:r>
        <w:rPr>
          <w:rFonts w:ascii="Arial" w:cs="Arial" w:eastAsia="Arial" w:hAnsi="Arial"/>
          <w:sz w:val="14"/>
          <w:szCs w:val="14"/>
          <w:u w:val="single" w:color="auto"/>
          <w:color w:val="auto"/>
        </w:rPr>
        <w:t>Advance Notice</w:t>
      </w:r>
      <w:r>
        <w:rPr>
          <w:rFonts w:ascii="Arial" w:cs="Arial" w:eastAsia="Arial" w:hAnsi="Arial"/>
          <w:sz w:val="14"/>
          <w:szCs w:val="14"/>
          <w:color w:val="auto"/>
        </w:rPr>
        <w:t>. Advance notice of stockholder nominations for the election of directors and of business to be brought by stockholders before any meeting of the stockholders of the Corporation shall be given in the manner provided in the Bylaws of the Corporation (the “Bylaws”).</w:t>
      </w:r>
    </w:p>
    <w:p>
      <w:pPr>
        <w:spacing w:after="0" w:line="131" w:lineRule="exact"/>
        <w:rPr>
          <w:rFonts w:ascii="Arial" w:cs="Arial" w:eastAsia="Arial" w:hAnsi="Arial"/>
          <w:sz w:val="14"/>
          <w:szCs w:val="14"/>
          <w:color w:val="auto"/>
        </w:rPr>
      </w:pPr>
    </w:p>
    <w:p>
      <w:pPr>
        <w:ind w:left="1560" w:hanging="526"/>
        <w:spacing w:after="0"/>
        <w:tabs>
          <w:tab w:leader="none" w:pos="1560" w:val="left"/>
        </w:tabs>
        <w:numPr>
          <w:ilvl w:val="1"/>
          <w:numId w:val="192"/>
        </w:numPr>
        <w:rPr>
          <w:rFonts w:ascii="Arial" w:cs="Arial" w:eastAsia="Arial" w:hAnsi="Arial"/>
          <w:sz w:val="14"/>
          <w:szCs w:val="14"/>
          <w:color w:val="auto"/>
        </w:rPr>
      </w:pPr>
      <w:r>
        <w:rPr>
          <w:rFonts w:ascii="Arial" w:cs="Arial" w:eastAsia="Arial" w:hAnsi="Arial"/>
          <w:sz w:val="14"/>
          <w:szCs w:val="14"/>
          <w:u w:val="single" w:color="auto"/>
          <w:color w:val="auto"/>
        </w:rPr>
        <w:t>Cumulative Voting</w:t>
      </w:r>
      <w:r>
        <w:rPr>
          <w:rFonts w:ascii="Arial" w:cs="Arial" w:eastAsia="Arial" w:hAnsi="Arial"/>
          <w:sz w:val="14"/>
          <w:szCs w:val="14"/>
          <w:color w:val="auto"/>
        </w:rPr>
        <w:t>. There shall be no cumulative voting.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Directors</w:t>
      </w:r>
    </w:p>
    <w:p>
      <w:pPr>
        <w:spacing w:after="0" w:line="182" w:lineRule="exact"/>
        <w:rPr>
          <w:sz w:val="20"/>
          <w:szCs w:val="20"/>
          <w:color w:val="auto"/>
        </w:rPr>
      </w:pPr>
    </w:p>
    <w:p>
      <w:pPr>
        <w:ind w:left="1560" w:hanging="526"/>
        <w:spacing w:after="0"/>
        <w:tabs>
          <w:tab w:leader="none" w:pos="1560" w:val="left"/>
        </w:tabs>
        <w:numPr>
          <w:ilvl w:val="0"/>
          <w:numId w:val="193"/>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The business and affairs of the Corporation shall be managed by or under the direction of the Board of Directors except as otherwise provided herein or required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by law.</w:t>
      </w:r>
    </w:p>
    <w:p>
      <w:pPr>
        <w:spacing w:after="0" w:line="172" w:lineRule="exact"/>
        <w:rPr>
          <w:sz w:val="20"/>
          <w:szCs w:val="20"/>
          <w:color w:val="auto"/>
        </w:rPr>
      </w:pPr>
    </w:p>
    <w:p>
      <w:pPr>
        <w:ind w:left="1560" w:hanging="526"/>
        <w:spacing w:after="0"/>
        <w:tabs>
          <w:tab w:leader="none" w:pos="1560"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Election of Directors</w:t>
      </w:r>
      <w:r>
        <w:rPr>
          <w:rFonts w:ascii="Arial" w:cs="Arial" w:eastAsia="Arial" w:hAnsi="Arial"/>
          <w:sz w:val="14"/>
          <w:szCs w:val="14"/>
          <w:color w:val="auto"/>
        </w:rPr>
        <w:t>. Election of Directors need not be by written ballot unless the Bylaws of the Corporation shall so provide.</w:t>
      </w:r>
    </w:p>
    <w:p>
      <w:pPr>
        <w:spacing w:after="0" w:line="181" w:lineRule="exact"/>
        <w:rPr>
          <w:rFonts w:ascii="Arial" w:cs="Arial" w:eastAsia="Arial" w:hAnsi="Arial"/>
          <w:sz w:val="14"/>
          <w:szCs w:val="14"/>
          <w:color w:val="auto"/>
        </w:rPr>
      </w:pPr>
    </w:p>
    <w:p>
      <w:pPr>
        <w:jc w:val="both"/>
        <w:ind w:firstLine="1034"/>
        <w:spacing w:after="0" w:line="282" w:lineRule="auto"/>
        <w:tabs>
          <w:tab w:leader="none" w:pos="1570" w:val="left"/>
        </w:tabs>
        <w:numPr>
          <w:ilvl w:val="0"/>
          <w:numId w:val="194"/>
        </w:numPr>
        <w:rPr>
          <w:rFonts w:ascii="Arial" w:cs="Arial" w:eastAsia="Arial" w:hAnsi="Arial"/>
          <w:sz w:val="13"/>
          <w:szCs w:val="13"/>
          <w:color w:val="auto"/>
        </w:rPr>
      </w:pPr>
      <w:r>
        <w:rPr>
          <w:rFonts w:ascii="Arial" w:cs="Arial" w:eastAsia="Arial" w:hAnsi="Arial"/>
          <w:sz w:val="13"/>
          <w:szCs w:val="13"/>
          <w:u w:val="single" w:color="auto"/>
          <w:color w:val="auto"/>
        </w:rPr>
        <w:t>Number of Directors; Term of Office</w:t>
      </w:r>
      <w:r>
        <w:rPr>
          <w:rFonts w:ascii="Arial" w:cs="Arial" w:eastAsia="Arial" w:hAnsi="Arial"/>
          <w:sz w:val="13"/>
          <w:szCs w:val="13"/>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Such classes shall be as nearly equal in number of Directors as reasonably possible. The Board of Directors shall assign Directors into classes at the time the classification becomes effective. The initial Class I Directors shall serve for a term expiring at the first annual meeting of stockholders to be held after the filing of this Certificate, the initial Class II Directors shall serve for a term expiring at the second annual meeting of stockholders to be held after the filing of this Certificate, and the initial Class III Directors shall serve for a term expiring at the third annual meeting of stockholders to be held after the filing of this Certificate.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2" w:name="page333"/>
    <w:bookmarkEnd w:id="332"/>
    <w:p>
      <w:pPr>
        <w:jc w:val="both"/>
        <w:ind w:firstLine="1028"/>
        <w:spacing w:after="0" w:line="300" w:lineRule="auto"/>
        <w:rPr>
          <w:sz w:val="20"/>
          <w:szCs w:val="20"/>
          <w:color w:val="auto"/>
        </w:rPr>
      </w:pPr>
      <w:r>
        <w:rPr>
          <w:rFonts w:ascii="Arial" w:cs="Arial" w:eastAsia="Arial" w:hAnsi="Arial"/>
          <w:sz w:val="13"/>
          <w:szCs w:val="13"/>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25" w:lineRule="exact"/>
        <w:rPr>
          <w:sz w:val="20"/>
          <w:szCs w:val="20"/>
          <w:color w:val="auto"/>
        </w:rPr>
      </w:pPr>
    </w:p>
    <w:p>
      <w:pPr>
        <w:jc w:val="both"/>
        <w:ind w:firstLine="1034"/>
        <w:spacing w:after="0" w:line="259" w:lineRule="auto"/>
        <w:tabs>
          <w:tab w:leader="none" w:pos="1670" w:val="left"/>
        </w:tabs>
        <w:numPr>
          <w:ilvl w:val="0"/>
          <w:numId w:val="195"/>
        </w:numPr>
        <w:rPr>
          <w:rFonts w:ascii="Arial" w:cs="Arial" w:eastAsia="Arial" w:hAnsi="Arial"/>
          <w:sz w:val="14"/>
          <w:szCs w:val="14"/>
          <w:color w:val="auto"/>
        </w:rPr>
      </w:pPr>
      <w:r>
        <w:rPr>
          <w:rFonts w:ascii="Arial" w:cs="Arial" w:eastAsia="Arial" w:hAnsi="Arial"/>
          <w:sz w:val="14"/>
          <w:szCs w:val="14"/>
          <w:u w:val="single" w:color="auto"/>
          <w:color w:val="auto"/>
        </w:rPr>
        <w:t>Vacancies</w:t>
      </w:r>
      <w:r>
        <w:rPr>
          <w:rFonts w:ascii="Arial" w:cs="Arial" w:eastAsia="Arial" w:hAnsi="Arial"/>
          <w:sz w:val="14"/>
          <w:szCs w:val="14"/>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49" w:lineRule="exact"/>
        <w:rPr>
          <w:rFonts w:ascii="Arial" w:cs="Arial" w:eastAsia="Arial" w:hAnsi="Arial"/>
          <w:sz w:val="14"/>
          <w:szCs w:val="14"/>
          <w:color w:val="auto"/>
        </w:rPr>
      </w:pPr>
    </w:p>
    <w:p>
      <w:pPr>
        <w:jc w:val="both"/>
        <w:ind w:firstLine="1034"/>
        <w:spacing w:after="0" w:line="299" w:lineRule="auto"/>
        <w:tabs>
          <w:tab w:leader="none" w:pos="1606" w:val="left"/>
        </w:tabs>
        <w:numPr>
          <w:ilvl w:val="0"/>
          <w:numId w:val="195"/>
        </w:numPr>
        <w:rPr>
          <w:rFonts w:ascii="Arial" w:cs="Arial" w:eastAsia="Arial" w:hAnsi="Arial"/>
          <w:sz w:val="13"/>
          <w:szCs w:val="13"/>
          <w:color w:val="auto"/>
        </w:rPr>
      </w:pPr>
      <w:r>
        <w:rPr>
          <w:rFonts w:ascii="Arial" w:cs="Arial" w:eastAsia="Arial" w:hAnsi="Arial"/>
          <w:sz w:val="13"/>
          <w:szCs w:val="13"/>
          <w:u w:val="single" w:color="auto"/>
          <w:color w:val="auto"/>
        </w:rPr>
        <w:t>Removal</w:t>
      </w:r>
      <w:r>
        <w:rPr>
          <w:rFonts w:ascii="Arial" w:cs="Arial" w:eastAsia="Arial" w:hAnsi="Arial"/>
          <w:sz w:val="13"/>
          <w:szCs w:val="13"/>
          <w:color w:val="auto"/>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only with cause. Subject to the rights, if any, of any series of Undesignated Preferred Stock and any limitations imposed by law, any individual director or the entire Board of Directors may be removed from office with cause by the affirmative vote of the holders of at least 66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of the voting power of all then outstanding shares of capital stock of the Corporation entitled to vote on the election of such directors.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Limitation Of Liability</w:t>
      </w:r>
    </w:p>
    <w:p>
      <w:pPr>
        <w:spacing w:after="0" w:line="182" w:lineRule="exact"/>
        <w:rPr>
          <w:sz w:val="20"/>
          <w:szCs w:val="20"/>
          <w:color w:val="auto"/>
        </w:rPr>
      </w:pPr>
    </w:p>
    <w:p>
      <w:pPr>
        <w:jc w:val="both"/>
        <w:ind w:firstLine="1028"/>
        <w:spacing w:after="0" w:line="262" w:lineRule="auto"/>
        <w:rPr>
          <w:sz w:val="20"/>
          <w:szCs w:val="20"/>
          <w:color w:val="auto"/>
        </w:rPr>
      </w:pPr>
      <w:r>
        <w:rPr>
          <w:rFonts w:ascii="Arial" w:cs="Arial" w:eastAsia="Arial" w:hAnsi="Arial"/>
          <w:sz w:val="14"/>
          <w:szCs w:val="14"/>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49"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As more fully set forth in the Bylaws, the Corporation may indemnify to the fullest extent permitted by the DGCL any person made or threatened to be made a party to an action or proceeding, whether criminal, civil, administrative, arbitrative or investigative, by reason of the fact that he, she, his or</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3" w:name="page334"/>
    <w:bookmarkEnd w:id="333"/>
    <w:p>
      <w:pPr>
        <w:jc w:val="both"/>
        <w:spacing w:after="0" w:line="285" w:lineRule="auto"/>
        <w:rPr>
          <w:sz w:val="20"/>
          <w:szCs w:val="20"/>
          <w:color w:val="auto"/>
        </w:rPr>
      </w:pPr>
      <w:r>
        <w:rPr>
          <w:rFonts w:ascii="Arial" w:cs="Arial" w:eastAsia="Arial" w:hAnsi="Arial"/>
          <w:sz w:val="14"/>
          <w:szCs w:val="14"/>
          <w:color w:val="auto"/>
        </w:rPr>
        <w:t>her testator or intestate is or was a Director, officer, employee or agent at the request of the Corporation or any predecessor to the Corporation or serves or served at any other legal entity as a Director, officer, employee or agent at the request of the Corporation.</w:t>
      </w:r>
    </w:p>
    <w:p>
      <w:pPr>
        <w:spacing w:after="0" w:line="13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VIII</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Amendment Of Bylaws</w:t>
      </w:r>
    </w:p>
    <w:p>
      <w:pPr>
        <w:spacing w:after="0" w:line="182" w:lineRule="exact"/>
        <w:rPr>
          <w:sz w:val="20"/>
          <w:szCs w:val="20"/>
          <w:color w:val="auto"/>
        </w:rPr>
      </w:pPr>
    </w:p>
    <w:p>
      <w:pPr>
        <w:ind w:firstLine="1034"/>
        <w:spacing w:after="0" w:line="285" w:lineRule="auto"/>
        <w:tabs>
          <w:tab w:leader="none" w:pos="1617"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Amendment by Directors</w:t>
      </w:r>
      <w:r>
        <w:rPr>
          <w:rFonts w:ascii="Arial" w:cs="Arial" w:eastAsia="Arial" w:hAnsi="Arial"/>
          <w:sz w:val="14"/>
          <w:szCs w:val="14"/>
          <w:color w:val="auto"/>
        </w:rPr>
        <w:t>. Except as otherwise provided by law, the Bylaws of the Corporation, or any provision or provisions thereof, may be amended or repealed by the Board of Directors by the affirmative vote of a majority of the Directors then in office.</w:t>
      </w:r>
    </w:p>
    <w:p>
      <w:pPr>
        <w:spacing w:after="0" w:line="131" w:lineRule="exact"/>
        <w:rPr>
          <w:rFonts w:ascii="Arial" w:cs="Arial" w:eastAsia="Arial" w:hAnsi="Arial"/>
          <w:sz w:val="14"/>
          <w:szCs w:val="14"/>
          <w:color w:val="auto"/>
        </w:rPr>
      </w:pPr>
    </w:p>
    <w:p>
      <w:pPr>
        <w:jc w:val="both"/>
        <w:ind w:firstLine="1034"/>
        <w:spacing w:after="0" w:line="261" w:lineRule="auto"/>
        <w:tabs>
          <w:tab w:leader="none" w:pos="1660"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Amendment by Stockholders</w:t>
      </w:r>
      <w:r>
        <w:rPr>
          <w:rFonts w:ascii="Arial" w:cs="Arial" w:eastAsia="Arial" w:hAnsi="Arial"/>
          <w:sz w:val="13"/>
          <w:szCs w:val="13"/>
          <w:color w:val="auto"/>
        </w:rPr>
        <w:t xml:space="preserve">. The Bylaws of the Corporation may be amended or repealed at any annual meeting of stockholders, or special meeting of stockholders called for such purpose, by the affirmative vote of at least 66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of the outstanding shares of capital stock entitled to vote on such amendment or repeal, voting together as a single class;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IX</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Exclusive Forum</w:t>
      </w:r>
    </w:p>
    <w:p>
      <w:pPr>
        <w:spacing w:after="0" w:line="182" w:lineRule="exact"/>
        <w:rPr>
          <w:sz w:val="20"/>
          <w:szCs w:val="20"/>
          <w:color w:val="auto"/>
        </w:rPr>
      </w:pPr>
    </w:p>
    <w:p>
      <w:pPr>
        <w:jc w:val="both"/>
        <w:ind w:firstLine="1028"/>
        <w:spacing w:after="0" w:line="280" w:lineRule="auto"/>
        <w:rPr>
          <w:sz w:val="20"/>
          <w:szCs w:val="20"/>
          <w:color w:val="auto"/>
        </w:rPr>
      </w:pPr>
      <w:r>
        <w:rPr>
          <w:rFonts w:ascii="Arial" w:cs="Arial" w:eastAsia="Arial" w:hAnsi="Arial"/>
          <w:sz w:val="13"/>
          <w:szCs w:val="13"/>
          <w:color w:val="auto"/>
        </w:rPr>
        <w:t>Unless the Corporation consents in writing to the selection of an alternative forum, the Court of Chancery of the State of Delaware (or,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claim or cause of action brought on behalf of the Corporation; (ii) any claim or cause of action for breach of fiduciary duty owed by any current or former director, officer or other employee, agent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this Certificate or the Bylaws of the Corporation (as each may be amended from time to time); (iv) any claim or cause of action seeking to interpret, apply, enforce or determine the validity of this Certificate or the Bylaws of the Corporation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 affairs doctrine or otherwise related to the corporation’s internal affairs, in all cases to the fullest extent permitted by law and subject to the court having personal jurisdiction over the indispensable parties named as</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4" w:name="page335"/>
    <w:bookmarkEnd w:id="334"/>
    <w:p>
      <w:pPr>
        <w:jc w:val="both"/>
        <w:spacing w:after="0" w:line="265" w:lineRule="auto"/>
        <w:rPr>
          <w:sz w:val="20"/>
          <w:szCs w:val="20"/>
          <w:color w:val="auto"/>
        </w:rPr>
      </w:pPr>
      <w:r>
        <w:rPr>
          <w:rFonts w:ascii="Arial" w:cs="Arial" w:eastAsia="Arial" w:hAnsi="Arial"/>
          <w:sz w:val="14"/>
          <w:szCs w:val="14"/>
          <w:color w:val="auto"/>
        </w:rPr>
        <w:t>defendants. Article IX shall not apply to claims or causes of action brought to enforce a duty or liability created by the Securities Act of 1933, as amended (the “1933 Act”) Act or the Securities Exchange Act of 1934, as amended or any other claim for which the federal courts have exclusive jurisdiction.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X</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Amendment Of Certificate Of Incorporation</w:t>
      </w:r>
    </w:p>
    <w:p>
      <w:pPr>
        <w:spacing w:after="0" w:line="182" w:lineRule="exact"/>
        <w:rPr>
          <w:sz w:val="20"/>
          <w:szCs w:val="20"/>
          <w:color w:val="auto"/>
        </w:rPr>
      </w:pPr>
    </w:p>
    <w:p>
      <w:pPr>
        <w:jc w:val="both"/>
        <w:ind w:firstLine="1028"/>
        <w:spacing w:after="0" w:line="279" w:lineRule="auto"/>
        <w:rPr>
          <w:sz w:val="20"/>
          <w:szCs w:val="20"/>
          <w:color w:val="auto"/>
        </w:rPr>
      </w:pPr>
      <w:r>
        <w:rPr>
          <w:rFonts w:ascii="Arial" w:cs="Arial" w:eastAsia="Arial" w:hAnsi="Arial"/>
          <w:sz w:val="13"/>
          <w:szCs w:val="13"/>
          <w:color w:val="auto"/>
        </w:rPr>
        <w:t>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w:t>
      </w:r>
    </w:p>
    <w:p>
      <w:pPr>
        <w:jc w:val="both"/>
        <w:spacing w:after="0" w:line="217" w:lineRule="auto"/>
        <w:rPr>
          <w:sz w:val="20"/>
          <w:szCs w:val="20"/>
          <w:color w:val="auto"/>
        </w:rPr>
      </w:pPr>
      <w:r>
        <w:rPr>
          <w:rFonts w:ascii="Arial" w:cs="Arial" w:eastAsia="Arial" w:hAnsi="Arial"/>
          <w:sz w:val="14"/>
          <w:szCs w:val="14"/>
          <w:color w:val="auto"/>
        </w:rPr>
        <w:t xml:space="preserve">constituted meeting of stockholders called expressly for such purpose;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affirmative vote of not less than 66 </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of the outstanding shares of capital stock entitled to vote on such amendment or repeal shall be required to amend or repeal any provision of Article V, Article VI, Article VII, Article VIII, Article IX or Article X of this Certificate.</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color w:val="auto"/>
        </w:rPr>
        <w:t>THIS AMENDED AND RESTATED CERTIFICATE OF INCORPORATION is executed as of this [ __ ] day of [ _____ ], 2021.</w:t>
      </w:r>
    </w:p>
    <w:p>
      <w:pPr>
        <w:spacing w:after="0" w:line="18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CENTURY THERAPEUTICS, INC.</w:t>
      </w:r>
    </w:p>
    <w:p>
      <w:pPr>
        <w:spacing w:after="0" w:line="182" w:lineRule="exact"/>
        <w:rPr>
          <w:sz w:val="20"/>
          <w:szCs w:val="20"/>
          <w:color w:val="auto"/>
        </w:rPr>
      </w:pPr>
    </w:p>
    <w:tbl>
      <w:tblPr>
        <w:tblLayout w:type="fixed"/>
        <w:tblInd w:w="460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15"/>
                <w:szCs w:val="15"/>
                <w:color w:val="auto"/>
              </w:rPr>
            </w:pP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Chief Executive Officer and Director</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[SIGNATURE PAGE TO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353060</wp:posOffset>
            </wp:positionV>
            <wp:extent cx="716089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240"/>
          </w:cols>
          <w:pgMar w:left="1340" w:top="750" w:right="319" w:bottom="1440" w:gutter="0" w:footer="0" w:header="0"/>
        </w:sectPr>
      </w:pPr>
    </w:p>
    <w:bookmarkStart w:id="336" w:name="page337"/>
    <w:bookmarkEnd w:id="336"/>
    <w:p>
      <w:pPr>
        <w:jc w:val="right"/>
        <w:spacing w:after="0"/>
        <w:rPr>
          <w:sz w:val="20"/>
          <w:szCs w:val="20"/>
          <w:color w:val="auto"/>
        </w:rPr>
      </w:pPr>
      <w:r>
        <w:rPr>
          <w:rFonts w:ascii="Arial" w:cs="Arial" w:eastAsia="Arial" w:hAnsi="Arial"/>
          <w:sz w:val="14"/>
          <w:szCs w:val="14"/>
          <w:b w:val="1"/>
          <w:bCs w:val="1"/>
          <w:color w:val="auto"/>
        </w:rPr>
        <w:t>Exhibit 3.5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“Corporation”)</w:t>
      </w:r>
    </w:p>
    <w:p>
      <w:pPr>
        <w:spacing w:after="0" w:line="182"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ARTICLE I</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4"/>
          <w:szCs w:val="14"/>
          <w:u w:val="single" w:color="auto"/>
          <w:color w:val="auto"/>
        </w:rPr>
        <w:t>Stockholders</w:t>
      </w:r>
    </w:p>
    <w:p>
      <w:pPr>
        <w:spacing w:after="0" w:line="172" w:lineRule="exact"/>
        <w:rPr>
          <w:sz w:val="20"/>
          <w:szCs w:val="20"/>
          <w:color w:val="auto"/>
        </w:rPr>
      </w:pPr>
    </w:p>
    <w:p>
      <w:pPr>
        <w:jc w:val="both"/>
        <w:ind w:firstLine="1028"/>
        <w:spacing w:after="0" w:line="260"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Annual Meeting</w:t>
      </w:r>
      <w:r>
        <w:rPr>
          <w:rFonts w:ascii="Arial" w:cs="Arial" w:eastAsia="Arial" w:hAnsi="Arial"/>
          <w:sz w:val="14"/>
          <w:szCs w:val="14"/>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provided that the Board of Directors may in its sole discretion determine that the meeting shall not be held at any place, but may instead be held solely by means of remote communication pursuant to as authorized by Section 211(a) of the General Corporation Law of the State of Delaware (the “DGCL”) and Section 6.11 of these Bylaws.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50" w:lineRule="exact"/>
        <w:rPr>
          <w:sz w:val="20"/>
          <w:szCs w:val="20"/>
          <w:color w:val="auto"/>
        </w:rPr>
      </w:pPr>
    </w:p>
    <w:p>
      <w:pPr>
        <w:ind w:left="1040"/>
        <w:spacing w:after="0"/>
        <w:tabs>
          <w:tab w:leader="none" w:pos="1960" w:val="left"/>
        </w:tabs>
        <w:rPr>
          <w:sz w:val="20"/>
          <w:szCs w:val="20"/>
          <w:color w:val="auto"/>
        </w:rPr>
      </w:pPr>
      <w:r>
        <w:rPr>
          <w:rFonts w:ascii="Arial" w:cs="Arial" w:eastAsia="Arial" w:hAnsi="Arial"/>
          <w:sz w:val="14"/>
          <w:szCs w:val="14"/>
          <w:color w:val="auto"/>
        </w:rPr>
        <w:t>Section 1.2.</w:t>
      </w:r>
      <w:r>
        <w:rPr>
          <w:sz w:val="20"/>
          <w:szCs w:val="20"/>
          <w:color w:val="auto"/>
        </w:rPr>
        <w:tab/>
      </w:r>
      <w:r>
        <w:rPr>
          <w:rFonts w:ascii="Arial" w:cs="Arial" w:eastAsia="Arial" w:hAnsi="Arial"/>
          <w:sz w:val="13"/>
          <w:szCs w:val="13"/>
          <w:u w:val="single" w:color="auto"/>
          <w:color w:val="auto"/>
        </w:rPr>
        <w:t>Notice of Stockholder Business and Nominations</w:t>
      </w:r>
      <w:r>
        <w:rPr>
          <w:rFonts w:ascii="Arial" w:cs="Arial" w:eastAsia="Arial" w:hAnsi="Arial"/>
          <w:sz w:val="13"/>
          <w:szCs w:val="13"/>
          <w:color w:val="auto"/>
        </w:rPr>
        <w:t>.</w:t>
      </w:r>
    </w:p>
    <w:p>
      <w:pPr>
        <w:spacing w:after="0" w:line="182" w:lineRule="exact"/>
        <w:rPr>
          <w:sz w:val="20"/>
          <w:szCs w:val="20"/>
          <w:color w:val="auto"/>
        </w:rPr>
      </w:pPr>
    </w:p>
    <w:p>
      <w:pPr>
        <w:ind w:left="1940" w:hanging="392"/>
        <w:spacing w:after="0"/>
        <w:tabs>
          <w:tab w:leader="none" w:pos="1940"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Annual Meetings of Stockholders</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jc w:val="both"/>
        <w:ind w:firstLine="2062"/>
        <w:spacing w:after="0" w:line="283" w:lineRule="auto"/>
        <w:tabs>
          <w:tab w:leader="none" w:pos="2454" w:val="left"/>
        </w:tabs>
        <w:numPr>
          <w:ilvl w:val="1"/>
          <w:numId w:val="197"/>
        </w:numPr>
        <w:rPr>
          <w:rFonts w:ascii="Arial" w:cs="Arial" w:eastAsia="Arial" w:hAnsi="Arial"/>
          <w:sz w:val="13"/>
          <w:szCs w:val="13"/>
          <w:color w:val="auto"/>
        </w:rPr>
      </w:pPr>
      <w:r>
        <w:rPr>
          <w:rFonts w:ascii="Arial" w:cs="Arial" w:eastAsia="Arial" w:hAnsi="Arial"/>
          <w:sz w:val="13"/>
          <w:szCs w:val="13"/>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Section 1.2(a)(2)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716089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7" w:name="page338"/>
    <w:bookmarkEnd w:id="337"/>
    <w:p>
      <w:pPr>
        <w:jc w:val="both"/>
        <w:ind w:firstLine="2062"/>
        <w:spacing w:after="0" w:line="279" w:lineRule="auto"/>
        <w:tabs>
          <w:tab w:leader="none" w:pos="2454" w:val="left"/>
        </w:tabs>
        <w:numPr>
          <w:ilvl w:val="0"/>
          <w:numId w:val="198"/>
        </w:numPr>
        <w:rPr>
          <w:rFonts w:ascii="Arial" w:cs="Arial" w:eastAsia="Arial" w:hAnsi="Arial"/>
          <w:sz w:val="13"/>
          <w:szCs w:val="13"/>
          <w:color w:val="auto"/>
        </w:rPr>
      </w:pPr>
      <w:r>
        <w:rPr>
          <w:rFonts w:ascii="Arial" w:cs="Arial" w:eastAsia="Arial" w:hAnsi="Arial"/>
          <w:sz w:val="13"/>
          <w:szCs w:val="13"/>
          <w:color w:val="auto"/>
        </w:rPr>
        <w:t xml:space="preserve">For nominations or other business to be properly brought before an Annual Meeting by a stockholder pursuant to clause (ii) of Section 1.2(a)(1)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42" w:lineRule="exact"/>
        <w:rPr>
          <w:rFonts w:ascii="Arial" w:cs="Arial" w:eastAsia="Arial" w:hAnsi="Arial"/>
          <w:sz w:val="13"/>
          <w:szCs w:val="13"/>
          <w:color w:val="auto"/>
        </w:rPr>
      </w:pPr>
    </w:p>
    <w:p>
      <w:pPr>
        <w:jc w:val="both"/>
        <w:ind w:firstLine="2576"/>
        <w:spacing w:after="0" w:line="270" w:lineRule="auto"/>
        <w:tabs>
          <w:tab w:leader="none" w:pos="3018" w:val="left"/>
        </w:tabs>
        <w:numPr>
          <w:ilvl w:val="1"/>
          <w:numId w:val="198"/>
        </w:numPr>
        <w:rPr>
          <w:rFonts w:ascii="Arial" w:cs="Arial" w:eastAsia="Arial" w:hAnsi="Arial"/>
          <w:sz w:val="14"/>
          <w:szCs w:val="14"/>
          <w:color w:val="auto"/>
        </w:rPr>
      </w:pPr>
      <w:r>
        <w:rPr>
          <w:rFonts w:ascii="Arial" w:cs="Arial" w:eastAsia="Arial" w:hAnsi="Arial"/>
          <w:sz w:val="14"/>
          <w:szCs w:val="14"/>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42" w:lineRule="exact"/>
        <w:rPr>
          <w:rFonts w:ascii="Arial" w:cs="Arial" w:eastAsia="Arial" w:hAnsi="Arial"/>
          <w:sz w:val="14"/>
          <w:szCs w:val="14"/>
          <w:color w:val="auto"/>
        </w:rPr>
      </w:pPr>
    </w:p>
    <w:p>
      <w:pPr>
        <w:ind w:right="140" w:firstLine="2576"/>
        <w:spacing w:after="0" w:line="335" w:lineRule="auto"/>
        <w:tabs>
          <w:tab w:leader="none" w:pos="301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such business includes a proposal to amend these Bylaws, the language of the proposed amendment) the reasons for conducting such business at the meeting, and any material interest in such business of each Proposing Person (as defined below);</w:t>
      </w:r>
    </w:p>
    <w:p>
      <w:pPr>
        <w:spacing w:after="0" w:line="107" w:lineRule="exact"/>
        <w:rPr>
          <w:rFonts w:ascii="Arial" w:cs="Arial" w:eastAsia="Arial" w:hAnsi="Arial"/>
          <w:sz w:val="12"/>
          <w:szCs w:val="12"/>
          <w:color w:val="auto"/>
        </w:rPr>
      </w:pPr>
    </w:p>
    <w:p>
      <w:pPr>
        <w:jc w:val="both"/>
        <w:ind w:firstLine="2576"/>
        <w:spacing w:after="0" w:line="265" w:lineRule="auto"/>
        <w:tabs>
          <w:tab w:leader="none" w:pos="3021" w:val="left"/>
        </w:tabs>
        <w:numPr>
          <w:ilvl w:val="1"/>
          <w:numId w:val="198"/>
        </w:numPr>
        <w:rPr>
          <w:rFonts w:ascii="Arial" w:cs="Arial" w:eastAsia="Arial" w:hAnsi="Arial"/>
          <w:sz w:val="14"/>
          <w:szCs w:val="14"/>
          <w:color w:val="auto"/>
        </w:rPr>
      </w:pPr>
      <w:r>
        <w:rPr>
          <w:rFonts w:ascii="Arial" w:cs="Arial" w:eastAsia="Arial" w:hAnsi="Arial"/>
          <w:sz w:val="14"/>
          <w:szCs w:val="14"/>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8" w:name="page339"/>
    <w:bookmarkEnd w:id="338"/>
    <w:p>
      <w:pPr>
        <w:jc w:val="both"/>
        <w:spacing w:after="0" w:line="279" w:lineRule="auto"/>
        <w:rPr>
          <w:sz w:val="20"/>
          <w:szCs w:val="20"/>
          <w:color w:val="auto"/>
        </w:rPr>
      </w:pPr>
      <w:r>
        <w:rPr>
          <w:rFonts w:ascii="Arial" w:cs="Arial" w:eastAsia="Arial" w:hAnsi="Arial"/>
          <w:sz w:val="13"/>
          <w:szCs w:val="13"/>
          <w:color w:val="auto"/>
        </w:rPr>
        <w:t>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40" w:lineRule="exact"/>
        <w:rPr>
          <w:sz w:val="20"/>
          <w:szCs w:val="20"/>
          <w:color w:val="auto"/>
        </w:rPr>
      </w:pPr>
    </w:p>
    <w:p>
      <w:pPr>
        <w:jc w:val="both"/>
        <w:ind w:firstLine="2576"/>
        <w:spacing w:after="0" w:line="262" w:lineRule="auto"/>
        <w:tabs>
          <w:tab w:leader="none" w:pos="3018"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49" w:lineRule="exact"/>
        <w:rPr>
          <w:rFonts w:ascii="Arial" w:cs="Arial" w:eastAsia="Arial" w:hAnsi="Arial"/>
          <w:sz w:val="14"/>
          <w:szCs w:val="14"/>
          <w:color w:val="auto"/>
        </w:rPr>
      </w:pPr>
    </w:p>
    <w:p>
      <w:pPr>
        <w:jc w:val="both"/>
        <w:ind w:firstLine="2576"/>
        <w:spacing w:after="0" w:line="292" w:lineRule="auto"/>
        <w:tabs>
          <w:tab w:leader="none" w:pos="300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39" w:name="page340"/>
    <w:bookmarkEnd w:id="339"/>
    <w:p>
      <w:pPr>
        <w:jc w:val="both"/>
        <w:ind w:firstLine="1028"/>
        <w:spacing w:after="0" w:line="258" w:lineRule="auto"/>
        <w:rPr>
          <w:sz w:val="20"/>
          <w:szCs w:val="20"/>
          <w:color w:val="auto"/>
        </w:rPr>
      </w:pPr>
      <w:r>
        <w:rPr>
          <w:rFonts w:ascii="Arial" w:cs="Arial" w:eastAsia="Arial" w:hAnsi="Arial"/>
          <w:sz w:val="14"/>
          <w:szCs w:val="14"/>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1.2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54" w:lineRule="exact"/>
        <w:rPr>
          <w:sz w:val="20"/>
          <w:szCs w:val="20"/>
          <w:color w:val="auto"/>
        </w:rPr>
      </w:pPr>
    </w:p>
    <w:p>
      <w:pPr>
        <w:jc w:val="both"/>
        <w:ind w:firstLine="2062"/>
        <w:spacing w:after="0" w:line="279" w:lineRule="auto"/>
        <w:tabs>
          <w:tab w:leader="none" w:pos="2454"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To be eligible to be a nominee of any stockholder for election or reelection as a director of the Corporation, a person must deliver (in accordance with the time periods prescribed for nominations of persons for election to the Board of Directors by stockholders under this Section 1.2)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all information relating to such person that would be required to be disclosed in solicitations of proxies by the Corporation for election of such person as a director in an election contest, or is otherwise required, in each case pursuant to Regulation 14A under the Exchange Act, and a written representation and agreement (in the form provided by the Secretary upon written request) that such individual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(2)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and (d) consents to being named as a nominee in the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color w:val="auto"/>
        </w:rPr>
        <w:t>Corporation’s proxy statement pursuant to Rule 14a-4(d) under the Exchange Act and any associated proxy card of the Corporation and agrees to serve if elected as a director.</w:t>
      </w:r>
    </w:p>
    <w:p>
      <w:pPr>
        <w:spacing w:after="0" w:line="182" w:lineRule="exact"/>
        <w:rPr>
          <w:sz w:val="20"/>
          <w:szCs w:val="20"/>
          <w:color w:val="auto"/>
        </w:rPr>
      </w:pPr>
    </w:p>
    <w:p>
      <w:pPr>
        <w:jc w:val="both"/>
        <w:ind w:firstLine="2062"/>
        <w:spacing w:after="0" w:line="260" w:lineRule="auto"/>
        <w:tabs>
          <w:tab w:leader="none" w:pos="245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A stockholder providing Timely Notice of nominations or business proposed to be brought before an Annual Meeting and any person providing information pursuant to Section 1.2(a)(3) shall, in each case, further update and supplement such notice and information, if necessary, so that the information (including, without limitation, the Material Ownership Interests information) provided or required to be provided therein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49" w:lineRule="exact"/>
        <w:rPr>
          <w:rFonts w:ascii="Arial" w:cs="Arial" w:eastAsia="Arial" w:hAnsi="Arial"/>
          <w:sz w:val="14"/>
          <w:szCs w:val="14"/>
          <w:color w:val="auto"/>
        </w:rPr>
      </w:pPr>
    </w:p>
    <w:p>
      <w:pPr>
        <w:jc w:val="both"/>
        <w:ind w:firstLine="2062"/>
        <w:spacing w:after="0" w:line="287" w:lineRule="auto"/>
        <w:tabs>
          <w:tab w:leader="none" w:pos="2437" w:val="left"/>
        </w:tabs>
        <w:numPr>
          <w:ilvl w:val="1"/>
          <w:numId w:val="201"/>
        </w:numPr>
        <w:rPr>
          <w:rFonts w:ascii="Arial" w:cs="Arial" w:eastAsia="Arial" w:hAnsi="Arial"/>
          <w:sz w:val="13"/>
          <w:szCs w:val="13"/>
          <w:color w:val="auto"/>
        </w:rPr>
      </w:pPr>
      <w:r>
        <w:rPr>
          <w:rFonts w:ascii="Arial" w:cs="Arial" w:eastAsia="Arial" w:hAnsi="Arial"/>
          <w:sz w:val="13"/>
          <w:szCs w:val="13"/>
          <w:color w:val="auto"/>
        </w:rPr>
        <w:t>Notwithstanding anything in the second sentence of Section 1.2(a)(2)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Section 1.2(a)(2),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34" w:lineRule="exact"/>
        <w:rPr>
          <w:rFonts w:ascii="Arial" w:cs="Arial" w:eastAsia="Arial" w:hAnsi="Arial"/>
          <w:sz w:val="13"/>
          <w:szCs w:val="13"/>
          <w:color w:val="auto"/>
        </w:rPr>
      </w:pPr>
    </w:p>
    <w:p>
      <w:pPr>
        <w:ind w:left="1920" w:hanging="372"/>
        <w:spacing w:after="0"/>
        <w:tabs>
          <w:tab w:leader="none" w:pos="1920"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jc w:val="both"/>
        <w:ind w:firstLine="2062"/>
        <w:spacing w:after="0" w:line="283" w:lineRule="auto"/>
        <w:tabs>
          <w:tab w:leader="none" w:pos="2437" w:val="left"/>
        </w:tabs>
        <w:numPr>
          <w:ilvl w:val="1"/>
          <w:numId w:val="202"/>
        </w:numPr>
        <w:rPr>
          <w:rFonts w:ascii="Arial" w:cs="Arial" w:eastAsia="Arial" w:hAnsi="Arial"/>
          <w:sz w:val="13"/>
          <w:szCs w:val="13"/>
          <w:color w:val="auto"/>
        </w:rPr>
      </w:pPr>
      <w:r>
        <w:rPr>
          <w:rFonts w:ascii="Arial" w:cs="Arial" w:eastAsia="Arial" w:hAnsi="Arial"/>
          <w:sz w:val="13"/>
          <w:szCs w:val="13"/>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1" w:name="page342"/>
    <w:bookmarkEnd w:id="341"/>
    <w:p>
      <w:pPr>
        <w:jc w:val="both"/>
        <w:ind w:firstLine="2062"/>
        <w:spacing w:after="0" w:line="270" w:lineRule="auto"/>
        <w:tabs>
          <w:tab w:leader="none" w:pos="2472" w:val="left"/>
        </w:tabs>
        <w:numPr>
          <w:ilvl w:val="0"/>
          <w:numId w:val="203"/>
        </w:numPr>
        <w:rPr>
          <w:rFonts w:ascii="Arial" w:cs="Arial" w:eastAsia="Arial" w:hAnsi="Arial"/>
          <w:sz w:val="14"/>
          <w:szCs w:val="14"/>
          <w:color w:val="auto"/>
        </w:rPr>
      </w:pPr>
      <w:r>
        <w:rPr>
          <w:rFonts w:ascii="Arial" w:cs="Arial" w:eastAsia="Arial" w:hAnsi="Arial"/>
          <w:sz w:val="14"/>
          <w:szCs w:val="14"/>
          <w:color w:val="auto"/>
        </w:rPr>
        <w:t>Except as otherwise required by law, nothing in this Section 1.2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42" w:lineRule="exact"/>
        <w:rPr>
          <w:rFonts w:ascii="Arial" w:cs="Arial" w:eastAsia="Arial" w:hAnsi="Arial"/>
          <w:sz w:val="14"/>
          <w:szCs w:val="14"/>
          <w:color w:val="auto"/>
        </w:rPr>
      </w:pPr>
    </w:p>
    <w:p>
      <w:pPr>
        <w:jc w:val="both"/>
        <w:ind w:firstLine="2062"/>
        <w:spacing w:after="0" w:line="287" w:lineRule="auto"/>
        <w:tabs>
          <w:tab w:leader="none" w:pos="2472" w:val="left"/>
        </w:tabs>
        <w:numPr>
          <w:ilvl w:val="0"/>
          <w:numId w:val="203"/>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1.2,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Section 1.2,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34" w:lineRule="exact"/>
        <w:rPr>
          <w:rFonts w:ascii="Arial" w:cs="Arial" w:eastAsia="Arial" w:hAnsi="Arial"/>
          <w:sz w:val="13"/>
          <w:szCs w:val="13"/>
          <w:color w:val="auto"/>
        </w:rPr>
      </w:pPr>
    </w:p>
    <w:p>
      <w:pPr>
        <w:ind w:firstLine="2062"/>
        <w:spacing w:after="0" w:line="325" w:lineRule="auto"/>
        <w:tabs>
          <w:tab w:leader="none" w:pos="2472" w:val="left"/>
        </w:tabs>
        <w:numPr>
          <w:ilvl w:val="0"/>
          <w:numId w:val="203"/>
        </w:numPr>
        <w:rPr>
          <w:rFonts w:ascii="Arial" w:cs="Arial" w:eastAsia="Arial" w:hAnsi="Arial"/>
          <w:sz w:val="13"/>
          <w:szCs w:val="13"/>
          <w:color w:val="auto"/>
        </w:rPr>
      </w:pPr>
      <w:r>
        <w:rPr>
          <w:rFonts w:ascii="Arial" w:cs="Arial" w:eastAsia="Arial" w:hAnsi="Arial"/>
          <w:sz w:val="13"/>
          <w:szCs w:val="13"/>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09" w:lineRule="exact"/>
        <w:rPr>
          <w:rFonts w:ascii="Arial" w:cs="Arial" w:eastAsia="Arial" w:hAnsi="Arial"/>
          <w:sz w:val="13"/>
          <w:szCs w:val="13"/>
          <w:color w:val="auto"/>
        </w:rPr>
      </w:pPr>
    </w:p>
    <w:p>
      <w:pPr>
        <w:jc w:val="both"/>
        <w:ind w:firstLine="2062"/>
        <w:spacing w:after="0" w:line="292" w:lineRule="auto"/>
        <w:tabs>
          <w:tab w:leader="none" w:pos="2483" w:val="left"/>
        </w:tabs>
        <w:numPr>
          <w:ilvl w:val="0"/>
          <w:numId w:val="203"/>
        </w:numPr>
        <w:rPr>
          <w:rFonts w:ascii="Arial" w:cs="Arial" w:eastAsia="Arial" w:hAnsi="Arial"/>
          <w:sz w:val="13"/>
          <w:szCs w:val="13"/>
          <w:color w:val="auto"/>
        </w:rPr>
      </w:pPr>
      <w:r>
        <w:rPr>
          <w:rFonts w:ascii="Arial" w:cs="Arial" w:eastAsia="Arial" w:hAnsi="Arial"/>
          <w:sz w:val="13"/>
          <w:szCs w:val="13"/>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(as defined in the Certificate (as defined below)) to elect directors under specified circumstances.</w:t>
      </w:r>
    </w:p>
    <w:p>
      <w:pPr>
        <w:spacing w:after="0" w:line="129" w:lineRule="exact"/>
        <w:rPr>
          <w:sz w:val="20"/>
          <w:szCs w:val="20"/>
          <w:color w:val="auto"/>
        </w:rPr>
      </w:pPr>
    </w:p>
    <w:p>
      <w:pPr>
        <w:jc w:val="both"/>
        <w:ind w:firstLine="1028"/>
        <w:spacing w:after="0" w:line="283"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Special Meetings</w:t>
      </w:r>
      <w:r>
        <w:rPr>
          <w:rFonts w:ascii="Arial" w:cs="Arial" w:eastAsia="Arial" w:hAnsi="Arial"/>
          <w:sz w:val="13"/>
          <w:szCs w:val="13"/>
          <w:color w:val="auto"/>
        </w:rPr>
        <w:t>. Except as otherwise required by statute and subject to the rights, if any, of the holders of any series of Undesignated Preferred Stock, special meetings of the stockholders of the Corporation may be called only by (i) the Board of Directors acting pursuant to a resolution approved by the affirmative vote of a majority of the Directors then in office, (ii) the Chairperson of the Board (as defined below) or (iii) the Chief Executive Officer of the Corporation.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Section 1.1 of these Bylaws, in which case such special meeting in lieu thereof shall be deemed an Annual Meeting for purposes of these Bylaws and the provisions of Section 1.2 of these Bylaws shall govern such special meeting.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2" w:name="page343"/>
    <w:bookmarkEnd w:id="342"/>
    <w:p>
      <w:pPr>
        <w:ind w:left="1040"/>
        <w:spacing w:after="0"/>
        <w:tabs>
          <w:tab w:leader="none" w:pos="1940" w:val="left"/>
        </w:tabs>
        <w:rPr>
          <w:sz w:val="20"/>
          <w:szCs w:val="20"/>
          <w:color w:val="auto"/>
        </w:rPr>
      </w:pPr>
      <w:r>
        <w:rPr>
          <w:rFonts w:ascii="Arial" w:cs="Arial" w:eastAsia="Arial" w:hAnsi="Arial"/>
          <w:sz w:val="14"/>
          <w:szCs w:val="14"/>
          <w:color w:val="auto"/>
        </w:rPr>
        <w:t>Section 1.4.</w:t>
      </w:r>
      <w:r>
        <w:rPr>
          <w:sz w:val="20"/>
          <w:szCs w:val="20"/>
          <w:color w:val="auto"/>
        </w:rPr>
        <w:tab/>
      </w:r>
      <w:r>
        <w:rPr>
          <w:rFonts w:ascii="Arial" w:cs="Arial" w:eastAsia="Arial" w:hAnsi="Arial"/>
          <w:sz w:val="13"/>
          <w:szCs w:val="13"/>
          <w:u w:val="single" w:color="auto"/>
          <w:color w:val="auto"/>
        </w:rPr>
        <w:t>Notice of Meetings; Adjournments</w:t>
      </w:r>
      <w:r>
        <w:rPr>
          <w:rFonts w:ascii="Arial" w:cs="Arial" w:eastAsia="Arial" w:hAnsi="Arial"/>
          <w:sz w:val="13"/>
          <w:szCs w:val="13"/>
          <w:color w:val="auto"/>
        </w:rPr>
        <w:t>.</w:t>
      </w:r>
    </w:p>
    <w:p>
      <w:pPr>
        <w:spacing w:after="0" w:line="182" w:lineRule="exact"/>
        <w:rPr>
          <w:sz w:val="20"/>
          <w:szCs w:val="20"/>
          <w:color w:val="auto"/>
        </w:rPr>
      </w:pPr>
    </w:p>
    <w:p>
      <w:pPr>
        <w:jc w:val="both"/>
        <w:ind w:firstLine="1548"/>
        <w:spacing w:after="0" w:line="262" w:lineRule="auto"/>
        <w:tabs>
          <w:tab w:leader="none" w:pos="1932" w:val="left"/>
        </w:tabs>
        <w:numPr>
          <w:ilvl w:val="0"/>
          <w:numId w:val="204"/>
        </w:numPr>
        <w:rPr>
          <w:rFonts w:ascii="Arial" w:cs="Arial" w:eastAsia="Arial" w:hAnsi="Arial"/>
          <w:sz w:val="14"/>
          <w:szCs w:val="14"/>
          <w:color w:val="auto"/>
        </w:rPr>
      </w:pPr>
      <w:r>
        <w:rPr>
          <w:rFonts w:ascii="Arial" w:cs="Arial" w:eastAsia="Arial" w:hAnsi="Arial"/>
          <w:sz w:val="14"/>
          <w:szCs w:val="14"/>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149" w:lineRule="exact"/>
        <w:rPr>
          <w:rFonts w:ascii="Arial" w:cs="Arial" w:eastAsia="Arial" w:hAnsi="Arial"/>
          <w:sz w:val="14"/>
          <w:szCs w:val="14"/>
          <w:color w:val="auto"/>
        </w:rPr>
      </w:pPr>
    </w:p>
    <w:p>
      <w:pPr>
        <w:ind w:firstLine="1548"/>
        <w:spacing w:after="0" w:line="285" w:lineRule="auto"/>
        <w:tabs>
          <w:tab w:leader="none" w:pos="1969" w:val="left"/>
        </w:tabs>
        <w:numPr>
          <w:ilvl w:val="0"/>
          <w:numId w:val="204"/>
        </w:numPr>
        <w:rPr>
          <w:rFonts w:ascii="Arial" w:cs="Arial" w:eastAsia="Arial" w:hAnsi="Arial"/>
          <w:sz w:val="14"/>
          <w:szCs w:val="14"/>
          <w:color w:val="auto"/>
        </w:rPr>
      </w:pPr>
      <w:r>
        <w:rPr>
          <w:rFonts w:ascii="Arial" w:cs="Arial" w:eastAsia="Arial" w:hAnsi="Arial"/>
          <w:sz w:val="14"/>
          <w:szCs w:val="14"/>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31" w:lineRule="exact"/>
        <w:rPr>
          <w:rFonts w:ascii="Arial" w:cs="Arial" w:eastAsia="Arial" w:hAnsi="Arial"/>
          <w:sz w:val="14"/>
          <w:szCs w:val="14"/>
          <w:color w:val="auto"/>
        </w:rPr>
      </w:pPr>
    </w:p>
    <w:p>
      <w:pPr>
        <w:jc w:val="both"/>
        <w:ind w:firstLine="1548"/>
        <w:spacing w:after="0" w:line="270" w:lineRule="auto"/>
        <w:tabs>
          <w:tab w:leader="none" w:pos="1972" w:val="left"/>
        </w:tabs>
        <w:numPr>
          <w:ilvl w:val="0"/>
          <w:numId w:val="204"/>
        </w:numPr>
        <w:rPr>
          <w:rFonts w:ascii="Arial" w:cs="Arial" w:eastAsia="Arial" w:hAnsi="Arial"/>
          <w:sz w:val="14"/>
          <w:szCs w:val="14"/>
          <w:color w:val="auto"/>
        </w:rPr>
      </w:pPr>
      <w:r>
        <w:rPr>
          <w:rFonts w:ascii="Arial" w:cs="Arial" w:eastAsia="Arial" w:hAnsi="Arial"/>
          <w:sz w:val="14"/>
          <w:szCs w:val="14"/>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42" w:lineRule="exact"/>
        <w:rPr>
          <w:rFonts w:ascii="Arial" w:cs="Arial" w:eastAsia="Arial" w:hAnsi="Arial"/>
          <w:sz w:val="14"/>
          <w:szCs w:val="14"/>
          <w:color w:val="auto"/>
        </w:rPr>
      </w:pPr>
    </w:p>
    <w:p>
      <w:pPr>
        <w:jc w:val="both"/>
        <w:ind w:firstLine="1548"/>
        <w:spacing w:after="0" w:line="265" w:lineRule="auto"/>
        <w:tabs>
          <w:tab w:leader="none" w:pos="198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1.2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45" w:lineRule="exact"/>
        <w:rPr>
          <w:rFonts w:ascii="Arial" w:cs="Arial" w:eastAsia="Arial" w:hAnsi="Arial"/>
          <w:sz w:val="14"/>
          <w:szCs w:val="14"/>
          <w:color w:val="auto"/>
        </w:rPr>
      </w:pPr>
    </w:p>
    <w:p>
      <w:pPr>
        <w:jc w:val="both"/>
        <w:ind w:firstLine="1548"/>
        <w:spacing w:after="0" w:line="282" w:lineRule="auto"/>
        <w:tabs>
          <w:tab w:leader="none" w:pos="195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color w:val="auto"/>
        </w:rPr>
        <w:t>Incorporation of the Corporation (as the same may hereafter be amended and/or restated, the “Certificate”) or these Bylaws, is entitled to such notice.</w:t>
      </w:r>
    </w:p>
    <w:p>
      <w:pPr>
        <w:spacing w:after="0" w:line="182" w:lineRule="exact"/>
        <w:rPr>
          <w:sz w:val="20"/>
          <w:szCs w:val="20"/>
          <w:color w:val="auto"/>
        </w:rPr>
      </w:pPr>
    </w:p>
    <w:p>
      <w:pPr>
        <w:jc w:val="both"/>
        <w:ind w:firstLine="1028"/>
        <w:spacing w:after="0" w:line="261"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Quorum</w:t>
      </w:r>
      <w:r>
        <w:rPr>
          <w:rFonts w:ascii="Arial" w:cs="Arial" w:eastAsia="Arial" w:hAnsi="Arial"/>
          <w:sz w:val="14"/>
          <w:szCs w:val="14"/>
          <w:color w:val="auto"/>
        </w:rPr>
        <w:t>.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1.4.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49" w:lineRule="exact"/>
        <w:rPr>
          <w:sz w:val="20"/>
          <w:szCs w:val="20"/>
          <w:color w:val="auto"/>
        </w:rPr>
      </w:pPr>
    </w:p>
    <w:p>
      <w:pPr>
        <w:jc w:val="both"/>
        <w:ind w:firstLine="1028"/>
        <w:spacing w:after="0" w:line="282" w:lineRule="auto"/>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Voting and Proxies</w:t>
      </w:r>
      <w:r>
        <w:rPr>
          <w:rFonts w:ascii="Arial" w:cs="Arial" w:eastAsia="Arial" w:hAnsi="Arial"/>
          <w:sz w:val="13"/>
          <w:szCs w:val="13"/>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 of the DGCL. Any copy, facsimile telecommunication or other reliable reproduction of the writing or transmission permitted by Section 212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37" w:lineRule="exact"/>
        <w:rPr>
          <w:sz w:val="20"/>
          <w:szCs w:val="20"/>
          <w:color w:val="auto"/>
        </w:rPr>
      </w:pPr>
    </w:p>
    <w:p>
      <w:pPr>
        <w:jc w:val="both"/>
        <w:ind w:firstLine="1028"/>
        <w:spacing w:after="0" w:line="265"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Action at Meeting</w:t>
      </w:r>
      <w:r>
        <w:rPr>
          <w:rFonts w:ascii="Arial" w:cs="Arial" w:eastAsia="Arial" w:hAnsi="Arial"/>
          <w:sz w:val="14"/>
          <w:szCs w:val="14"/>
          <w:color w:val="auto"/>
        </w:rPr>
        <w:t>. When a quorum is present at any meeting of stockholders, subject to the rights of the holders of one or more series of preferred stock of the Corporation,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46"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Stockholder Lists</w:t>
      </w:r>
      <w:r>
        <w:rPr>
          <w:rFonts w:ascii="Arial" w:cs="Arial" w:eastAsia="Arial" w:hAnsi="Arial"/>
          <w:sz w:val="14"/>
          <w:szCs w:val="14"/>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4" w:name="page345"/>
    <w:bookmarkEnd w:id="344"/>
    <w:p>
      <w:pPr>
        <w:jc w:val="both"/>
        <w:spacing w:after="0" w:line="262" w:lineRule="auto"/>
        <w:rPr>
          <w:sz w:val="20"/>
          <w:szCs w:val="20"/>
          <w:color w:val="auto"/>
        </w:rPr>
      </w:pPr>
      <w:r>
        <w:rPr>
          <w:rFonts w:ascii="Arial" w:cs="Arial" w:eastAsia="Arial" w:hAnsi="Arial"/>
          <w:sz w:val="14"/>
          <w:szCs w:val="14"/>
          <w:color w:val="auto"/>
        </w:rPr>
        <w:t>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49" w:lineRule="exact"/>
        <w:rPr>
          <w:sz w:val="20"/>
          <w:szCs w:val="20"/>
          <w:color w:val="auto"/>
        </w:rPr>
      </w:pPr>
    </w:p>
    <w:p>
      <w:pPr>
        <w:jc w:val="both"/>
        <w:ind w:firstLine="1028"/>
        <w:spacing w:after="0" w:line="260" w:lineRule="auto"/>
        <w:rPr>
          <w:sz w:val="20"/>
          <w:szCs w:val="20"/>
          <w:color w:val="auto"/>
        </w:rPr>
      </w:pPr>
      <w:r>
        <w:rPr>
          <w:rFonts w:ascii="Arial" w:cs="Arial" w:eastAsia="Arial" w:hAnsi="Arial"/>
          <w:sz w:val="14"/>
          <w:szCs w:val="14"/>
          <w:color w:val="auto"/>
        </w:rPr>
        <w:t xml:space="preserve">Section 1.9. </w:t>
      </w:r>
      <w:r>
        <w:rPr>
          <w:rFonts w:ascii="Arial" w:cs="Arial" w:eastAsia="Arial" w:hAnsi="Arial"/>
          <w:sz w:val="14"/>
          <w:szCs w:val="14"/>
          <w:u w:val="single" w:color="auto"/>
          <w:color w:val="auto"/>
        </w:rPr>
        <w:t>Presiding Officer</w:t>
      </w:r>
      <w:r>
        <w:rPr>
          <w:rFonts w:ascii="Arial" w:cs="Arial" w:eastAsia="Arial" w:hAnsi="Arial"/>
          <w:sz w:val="14"/>
          <w:szCs w:val="14"/>
          <w:color w:val="auto"/>
        </w:rPr>
        <w:t>. The Board of Directors shall designate a representative to preside over all Annual Meetings or special meetings of stockholders; provided that if the Board of Directors does not so designate such a presiding officer, then the Chairperson of the Board of Directors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1.4 and 1.5 of this Article I. The order of business and all other matters of procedure at any meeting of the stockholders shall be determined by the presiding officer.</w:t>
      </w:r>
    </w:p>
    <w:p>
      <w:pPr>
        <w:spacing w:after="0" w:line="150" w:lineRule="exact"/>
        <w:rPr>
          <w:sz w:val="20"/>
          <w:szCs w:val="20"/>
          <w:color w:val="auto"/>
        </w:rPr>
      </w:pPr>
    </w:p>
    <w:p>
      <w:pPr>
        <w:jc w:val="both"/>
        <w:ind w:firstLine="1028"/>
        <w:spacing w:after="0" w:line="282" w:lineRule="auto"/>
        <w:rPr>
          <w:sz w:val="20"/>
          <w:szCs w:val="20"/>
          <w:color w:val="auto"/>
        </w:rPr>
      </w:pPr>
      <w:r>
        <w:rPr>
          <w:rFonts w:ascii="Arial" w:cs="Arial" w:eastAsia="Arial" w:hAnsi="Arial"/>
          <w:sz w:val="13"/>
          <w:szCs w:val="13"/>
          <w:color w:val="auto"/>
        </w:rPr>
        <w:t xml:space="preserve">Section 1.10. </w:t>
      </w:r>
      <w:r>
        <w:rPr>
          <w:rFonts w:ascii="Arial" w:cs="Arial" w:eastAsia="Arial" w:hAnsi="Arial"/>
          <w:sz w:val="13"/>
          <w:szCs w:val="13"/>
          <w:u w:val="single" w:color="auto"/>
          <w:color w:val="auto"/>
        </w:rPr>
        <w:t>Inspectors of Elections</w:t>
      </w:r>
      <w:r>
        <w:rPr>
          <w:rFonts w:ascii="Arial" w:cs="Arial" w:eastAsia="Arial" w:hAnsi="Arial"/>
          <w:sz w:val="13"/>
          <w:szCs w:val="13"/>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4"/>
          <w:szCs w:val="14"/>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Directors</w:t>
      </w:r>
    </w:p>
    <w:p>
      <w:pPr>
        <w:spacing w:after="0" w:line="17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Powers</w:t>
      </w:r>
      <w:r>
        <w:rPr>
          <w:rFonts w:ascii="Arial" w:cs="Arial" w:eastAsia="Arial" w:hAnsi="Arial"/>
          <w:sz w:val="14"/>
          <w:szCs w:val="14"/>
          <w:color w:val="auto"/>
        </w:rPr>
        <w:t>. The business and affairs of the Corporation shall be managed by or under the direction of the Board of Directors except as otherwise provided by the Certificate or required by law.</w:t>
      </w:r>
    </w:p>
    <w:p>
      <w:pPr>
        <w:spacing w:after="0" w:line="13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Number and Terms</w:t>
      </w:r>
      <w:r>
        <w:rPr>
          <w:rFonts w:ascii="Arial" w:cs="Arial" w:eastAsia="Arial" w:hAnsi="Arial"/>
          <w:sz w:val="14"/>
          <w:szCs w:val="14"/>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3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2.3.</w:t>
      </w:r>
      <w:r>
        <w:rPr>
          <w:sz w:val="20"/>
          <w:szCs w:val="20"/>
          <w:color w:val="auto"/>
        </w:rPr>
        <w:tab/>
      </w:r>
      <w:r>
        <w:rPr>
          <w:rFonts w:ascii="Arial" w:cs="Arial" w:eastAsia="Arial" w:hAnsi="Arial"/>
          <w:sz w:val="13"/>
          <w:szCs w:val="13"/>
          <w:u w:val="single" w:color="auto"/>
          <w:color w:val="auto"/>
        </w:rPr>
        <w:t>Qualification</w:t>
      </w:r>
      <w:r>
        <w:rPr>
          <w:rFonts w:ascii="Arial" w:cs="Arial" w:eastAsia="Arial" w:hAnsi="Arial"/>
          <w:sz w:val="13"/>
          <w:szCs w:val="13"/>
          <w:color w:val="auto"/>
        </w:rPr>
        <w:t>. No director need be a stockholder of the Corporation.</w:t>
      </w:r>
    </w:p>
    <w:p>
      <w:pPr>
        <w:spacing w:after="0" w:line="18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2.4.</w:t>
      </w:r>
      <w:r>
        <w:rPr>
          <w:sz w:val="20"/>
          <w:szCs w:val="20"/>
          <w:color w:val="auto"/>
        </w:rPr>
        <w:tab/>
      </w:r>
      <w:r>
        <w:rPr>
          <w:rFonts w:ascii="Arial" w:cs="Arial" w:eastAsia="Arial" w:hAnsi="Arial"/>
          <w:sz w:val="13"/>
          <w:szCs w:val="13"/>
          <w:u w:val="single" w:color="auto"/>
          <w:color w:val="auto"/>
        </w:rPr>
        <w:t>Vacancies</w:t>
      </w:r>
      <w:r>
        <w:rPr>
          <w:rFonts w:ascii="Arial" w:cs="Arial" w:eastAsia="Arial" w:hAnsi="Arial"/>
          <w:sz w:val="13"/>
          <w:szCs w:val="13"/>
          <w:color w:val="auto"/>
        </w:rPr>
        <w:t>. Vacancies in the Board of Directors shall be filled in the manner provided in the Certificate.</w:t>
      </w:r>
    </w:p>
    <w:p>
      <w:pPr>
        <w:spacing w:after="0" w:line="18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2.5.</w:t>
      </w:r>
      <w:r>
        <w:rPr>
          <w:sz w:val="20"/>
          <w:szCs w:val="20"/>
          <w:color w:val="auto"/>
        </w:rPr>
        <w:tab/>
      </w:r>
      <w:r>
        <w:rPr>
          <w:rFonts w:ascii="Arial" w:cs="Arial" w:eastAsia="Arial" w:hAnsi="Arial"/>
          <w:sz w:val="13"/>
          <w:szCs w:val="13"/>
          <w:u w:val="single" w:color="auto"/>
          <w:color w:val="auto"/>
        </w:rPr>
        <w:t>Removal</w:t>
      </w:r>
      <w:r>
        <w:rPr>
          <w:rFonts w:ascii="Arial" w:cs="Arial" w:eastAsia="Arial" w:hAnsi="Arial"/>
          <w:sz w:val="13"/>
          <w:szCs w:val="13"/>
          <w:color w:val="auto"/>
        </w:rPr>
        <w:t>. Directors may be removed from office only in the manner provided in the Certificate.</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2.6. </w:t>
      </w:r>
      <w:r>
        <w:rPr>
          <w:rFonts w:ascii="Arial" w:cs="Arial" w:eastAsia="Arial" w:hAnsi="Arial"/>
          <w:sz w:val="14"/>
          <w:szCs w:val="14"/>
          <w:u w:val="single" w:color="auto"/>
          <w:color w:val="auto"/>
        </w:rPr>
        <w:t>Resignation</w:t>
      </w:r>
      <w:r>
        <w:rPr>
          <w:rFonts w:ascii="Arial" w:cs="Arial" w:eastAsia="Arial" w:hAnsi="Arial"/>
          <w:sz w:val="14"/>
          <w:szCs w:val="14"/>
          <w:color w:val="auto"/>
        </w:rPr>
        <w:t>. A director may resign at any time by giving written notice to the Chairperson of the Board, if one is elected, the Chief Executive Officer, the President or the Secretary. A resignation shall be effective upon receipt, unless the resignation otherwise provides.</w:t>
      </w:r>
    </w:p>
    <w:p>
      <w:pPr>
        <w:spacing w:after="0" w:line="132"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Regular Meetings</w:t>
      </w:r>
      <w:r>
        <w:rPr>
          <w:rFonts w:ascii="Arial" w:cs="Arial" w:eastAsia="Arial" w:hAnsi="Arial"/>
          <w:sz w:val="13"/>
          <w:szCs w:val="13"/>
          <w:color w:val="auto"/>
        </w:rPr>
        <w:t>. The regular annual meeting of the Board of Directors may be held, without notice other than this Section 2.7,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25" w:lineRule="exact"/>
        <w:rPr>
          <w:sz w:val="20"/>
          <w:szCs w:val="20"/>
          <w:color w:val="auto"/>
        </w:rPr>
      </w:pPr>
    </w:p>
    <w:p>
      <w:pPr>
        <w:jc w:val="both"/>
        <w:ind w:firstLine="1028"/>
        <w:spacing w:after="0" w:line="325" w:lineRule="auto"/>
        <w:rPr>
          <w:sz w:val="20"/>
          <w:szCs w:val="20"/>
          <w:color w:val="auto"/>
        </w:rPr>
      </w:pPr>
      <w:r>
        <w:rPr>
          <w:rFonts w:ascii="Arial" w:cs="Arial" w:eastAsia="Arial" w:hAnsi="Arial"/>
          <w:sz w:val="13"/>
          <w:szCs w:val="13"/>
          <w:color w:val="auto"/>
        </w:rPr>
        <w:t xml:space="preserve">Section 2.8.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may be called, orally or in writing, by or at the request of a majority of the directors, the Chairperson of the Board, if one is elected, or the President or Chief Executive Officer. The person calling any such special meeting of the Board of Directors may fix the hour, date and place thereof.</w:t>
      </w:r>
    </w:p>
    <w:p>
      <w:pPr>
        <w:spacing w:after="0" w:line="109" w:lineRule="exact"/>
        <w:rPr>
          <w:sz w:val="20"/>
          <w:szCs w:val="20"/>
          <w:color w:val="auto"/>
        </w:rPr>
      </w:pPr>
    </w:p>
    <w:p>
      <w:pPr>
        <w:jc w:val="both"/>
        <w:ind w:firstLine="1028"/>
        <w:spacing w:after="0" w:line="287" w:lineRule="auto"/>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Notice of Meetings</w:t>
      </w:r>
      <w:r>
        <w:rPr>
          <w:rFonts w:ascii="Arial" w:cs="Arial" w:eastAsia="Arial" w:hAnsi="Arial"/>
          <w:sz w:val="13"/>
          <w:szCs w:val="13"/>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Chief Executive Officer or such other officer designated by the Chairperson of the Board, if one is elected, or the President or Chief Executive Officer. Notice of any special meeting of the Board of Directors shall be given to each director in person, by telephone, or by electronic mail or other form of electronic communication, sent to his or her business or home address, at least forty-eight (48) hours in advance of the meeting. Such notice shall be deemed to be delivered when hand-delivered to such address, read to such director by telephone, or dispatched or transmitted if sent by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6" w:name="page347"/>
    <w:bookmarkEnd w:id="346"/>
    <w:p>
      <w:pPr>
        <w:jc w:val="both"/>
        <w:spacing w:after="0" w:line="292" w:lineRule="auto"/>
        <w:rPr>
          <w:sz w:val="20"/>
          <w:szCs w:val="20"/>
          <w:color w:val="auto"/>
        </w:rPr>
      </w:pPr>
      <w:r>
        <w:rPr>
          <w:rFonts w:ascii="Arial" w:cs="Arial" w:eastAsia="Arial" w:hAnsi="Arial"/>
          <w:sz w:val="13"/>
          <w:szCs w:val="13"/>
          <w:color w:val="auto"/>
        </w:rPr>
        <w:t>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9" w:lineRule="exact"/>
        <w:rPr>
          <w:sz w:val="20"/>
          <w:szCs w:val="20"/>
          <w:color w:val="auto"/>
        </w:rPr>
      </w:pPr>
    </w:p>
    <w:p>
      <w:pPr>
        <w:jc w:val="both"/>
        <w:ind w:firstLine="1028"/>
        <w:spacing w:after="0" w:line="265" w:lineRule="auto"/>
        <w:rPr>
          <w:sz w:val="20"/>
          <w:szCs w:val="20"/>
          <w:color w:val="auto"/>
        </w:rPr>
      </w:pPr>
      <w:r>
        <w:rPr>
          <w:rFonts w:ascii="Arial" w:cs="Arial" w:eastAsia="Arial" w:hAnsi="Arial"/>
          <w:sz w:val="14"/>
          <w:szCs w:val="14"/>
          <w:color w:val="auto"/>
        </w:rPr>
        <w:t xml:space="preserve">Section 2.10. </w:t>
      </w:r>
      <w:r>
        <w:rPr>
          <w:rFonts w:ascii="Arial" w:cs="Arial" w:eastAsia="Arial" w:hAnsi="Arial"/>
          <w:sz w:val="14"/>
          <w:szCs w:val="14"/>
          <w:u w:val="single" w:color="auto"/>
          <w:color w:val="auto"/>
        </w:rPr>
        <w:t>Quorum</w:t>
      </w:r>
      <w:r>
        <w:rPr>
          <w:rFonts w:ascii="Arial" w:cs="Arial" w:eastAsia="Arial" w:hAnsi="Arial"/>
          <w:sz w:val="14"/>
          <w:szCs w:val="14"/>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46"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Action at Meeting</w:t>
      </w:r>
      <w:r>
        <w:rPr>
          <w:rFonts w:ascii="Arial" w:cs="Arial" w:eastAsia="Arial" w:hAnsi="Arial"/>
          <w:sz w:val="14"/>
          <w:szCs w:val="14"/>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32" w:lineRule="exact"/>
        <w:rPr>
          <w:sz w:val="20"/>
          <w:szCs w:val="20"/>
          <w:color w:val="auto"/>
        </w:rPr>
      </w:pPr>
    </w:p>
    <w:p>
      <w:pPr>
        <w:jc w:val="both"/>
        <w:ind w:firstLine="1028"/>
        <w:spacing w:after="0" w:line="265" w:lineRule="auto"/>
        <w:rPr>
          <w:sz w:val="20"/>
          <w:szCs w:val="20"/>
          <w:color w:val="auto"/>
        </w:rPr>
      </w:pPr>
      <w:r>
        <w:rPr>
          <w:rFonts w:ascii="Arial" w:cs="Arial" w:eastAsia="Arial" w:hAnsi="Arial"/>
          <w:sz w:val="14"/>
          <w:szCs w:val="14"/>
          <w:color w:val="auto"/>
        </w:rPr>
        <w:t xml:space="preserve">Section 2.12. </w:t>
      </w:r>
      <w:r>
        <w:rPr>
          <w:rFonts w:ascii="Arial" w:cs="Arial" w:eastAsia="Arial" w:hAnsi="Arial"/>
          <w:sz w:val="14"/>
          <w:szCs w:val="14"/>
          <w:u w:val="single" w:color="auto"/>
          <w:color w:val="auto"/>
        </w:rPr>
        <w:t>Action by Consent</w:t>
      </w:r>
      <w:r>
        <w:rPr>
          <w:rFonts w:ascii="Arial" w:cs="Arial" w:eastAsia="Arial" w:hAnsi="Arial"/>
          <w:sz w:val="14"/>
          <w:szCs w:val="14"/>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46"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Manner of Participation</w:t>
      </w:r>
      <w:r>
        <w:rPr>
          <w:rFonts w:ascii="Arial" w:cs="Arial" w:eastAsia="Arial" w:hAnsi="Arial"/>
          <w:sz w:val="13"/>
          <w:szCs w:val="13"/>
          <w:color w:val="auto"/>
        </w:rPr>
        <w:t>. Unless otherwise restricted by the Certificate or these Bylaws, members of the Board of Directors, or any committee designated by the Board of Directors, may participate in a meeting of the Board of Directors, or any committee, by means of teleconference, virtual conference or other communications equipment by means of which all persons participating in the meeting can hear each other, and such participation in a meeting pursuant to this Bylaw shall constitute presence in person at the meeting.</w:t>
      </w:r>
    </w:p>
    <w:p>
      <w:pPr>
        <w:spacing w:after="0" w:line="125"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2.14. </w:t>
      </w:r>
      <w:r>
        <w:rPr>
          <w:rFonts w:ascii="Arial" w:cs="Arial" w:eastAsia="Arial" w:hAnsi="Arial"/>
          <w:sz w:val="14"/>
          <w:szCs w:val="14"/>
          <w:u w:val="single" w:color="auto"/>
          <w:color w:val="auto"/>
        </w:rPr>
        <w:t>Presiding Director</w:t>
      </w:r>
      <w:r>
        <w:rPr>
          <w:rFonts w:ascii="Arial" w:cs="Arial" w:eastAsia="Arial" w:hAnsi="Arial"/>
          <w:sz w:val="14"/>
          <w:szCs w:val="14"/>
          <w:color w:val="auto"/>
        </w:rPr>
        <w:t>. The Chairperson of the Board shall preside over all meetings of the Board of Directors and the chairperson of each committee of the Board of Directors shall preside over all meetings of the respective committee. If the Chairperson of the Board or chairperson of such committee of the Board of Directors is unable to preside or is absent, the Board of Directors shall designate an alternate representative to preside over a meeting of the Board of Directors, or committee meeting, as applicable.</w:t>
      </w:r>
    </w:p>
    <w:p>
      <w:pPr>
        <w:spacing w:after="0" w:line="142" w:lineRule="exact"/>
        <w:rPr>
          <w:sz w:val="20"/>
          <w:szCs w:val="20"/>
          <w:color w:val="auto"/>
        </w:rPr>
      </w:pPr>
    </w:p>
    <w:p>
      <w:pPr>
        <w:ind w:left="1040"/>
        <w:spacing w:after="0"/>
        <w:tabs>
          <w:tab w:leader="none" w:pos="1960" w:val="left"/>
        </w:tabs>
        <w:rPr>
          <w:sz w:val="20"/>
          <w:szCs w:val="20"/>
          <w:color w:val="auto"/>
        </w:rPr>
      </w:pPr>
      <w:r>
        <w:rPr>
          <w:rFonts w:ascii="Arial" w:cs="Arial" w:eastAsia="Arial" w:hAnsi="Arial"/>
          <w:sz w:val="14"/>
          <w:szCs w:val="14"/>
          <w:color w:val="auto"/>
        </w:rPr>
        <w:t>Section 2.15.</w:t>
      </w:r>
      <w:r>
        <w:rPr>
          <w:sz w:val="20"/>
          <w:szCs w:val="20"/>
          <w:color w:val="auto"/>
        </w:rPr>
        <w:tab/>
      </w:r>
      <w:r>
        <w:rPr>
          <w:rFonts w:ascii="Arial" w:cs="Arial" w:eastAsia="Arial" w:hAnsi="Arial"/>
          <w:sz w:val="13"/>
          <w:szCs w:val="13"/>
          <w:u w:val="single" w:color="auto"/>
          <w:color w:val="auto"/>
        </w:rPr>
        <w:t>Committees</w:t>
      </w:r>
      <w:r>
        <w:rPr>
          <w:rFonts w:ascii="Arial" w:cs="Arial" w:eastAsia="Arial" w:hAnsi="Arial"/>
          <w:sz w:val="13"/>
          <w:szCs w:val="13"/>
          <w:color w:val="auto"/>
        </w:rPr>
        <w:t>. The Board of Directors, by vote of a majority of the directors then in office, may elect one or more committees, including, without limitation, 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7" w:name="page348"/>
    <w:bookmarkEnd w:id="347"/>
    <w:p>
      <w:pPr>
        <w:jc w:val="both"/>
        <w:spacing w:after="0" w:line="261" w:lineRule="auto"/>
        <w:rPr>
          <w:sz w:val="20"/>
          <w:szCs w:val="20"/>
          <w:color w:val="auto"/>
        </w:rPr>
      </w:pPr>
      <w:r>
        <w:rPr>
          <w:rFonts w:ascii="Arial" w:cs="Arial" w:eastAsia="Arial" w:hAnsi="Arial"/>
          <w:sz w:val="14"/>
          <w:szCs w:val="14"/>
          <w:color w:val="auto"/>
        </w:rPr>
        <w:t>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provided that for the avoidance of doubt, any meeting of a committee of the Board shall follow the notice procedures set forth in Section 2.9.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49"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2.16. </w:t>
      </w:r>
      <w:r>
        <w:rPr>
          <w:rFonts w:ascii="Arial" w:cs="Arial" w:eastAsia="Arial" w:hAnsi="Arial"/>
          <w:sz w:val="14"/>
          <w:szCs w:val="14"/>
          <w:u w:val="single" w:color="auto"/>
          <w:color w:val="auto"/>
        </w:rPr>
        <w:t>Compensation of Directors</w:t>
      </w:r>
      <w:r>
        <w:rPr>
          <w:rFonts w:ascii="Arial" w:cs="Arial" w:eastAsia="Arial" w:hAnsi="Arial"/>
          <w:sz w:val="14"/>
          <w:szCs w:val="14"/>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Officers</w:t>
      </w:r>
    </w:p>
    <w:p>
      <w:pPr>
        <w:spacing w:after="0" w:line="17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Enumeration</w:t>
      </w:r>
      <w:r>
        <w:rPr>
          <w:rFonts w:ascii="Arial" w:cs="Arial" w:eastAsia="Arial" w:hAnsi="Arial"/>
          <w:sz w:val="14"/>
          <w:szCs w:val="14"/>
          <w:color w:val="auto"/>
        </w:rPr>
        <w:t>. The officers of the Corporation shall consist of a President, a Chief Executive Officer, a Secretary and such other officers, including, without limitation, a Chairperson of the Board of Directors, a Treasurer and one or more Vice Presidents, Assistant Vice Presidents, Assistant Treasurers and Assistant Secretaries, as the Board of Directors may determine.</w:t>
      </w:r>
    </w:p>
    <w:p>
      <w:pPr>
        <w:spacing w:after="0" w:line="14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Election</w:t>
      </w:r>
      <w:r>
        <w:rPr>
          <w:rFonts w:ascii="Arial" w:cs="Arial" w:eastAsia="Arial" w:hAnsi="Arial"/>
          <w:sz w:val="14"/>
          <w:szCs w:val="14"/>
          <w:color w:val="auto"/>
        </w:rPr>
        <w:t>. The Board of Directors shall elect, from time to time at a regular or special meeting of the Board of Directors, the President, the Chief Executive Officer, and the Secretary. Other officers may be elected by the Board of Directors at any regular or special meeting of the Board of Directors.</w:t>
      </w:r>
    </w:p>
    <w:p>
      <w:pPr>
        <w:spacing w:after="0" w:line="132"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4"/>
          <w:szCs w:val="14"/>
          <w:color w:val="auto"/>
        </w:rPr>
        <w:t>Section 3.3.</w:t>
      </w:r>
      <w:r>
        <w:rPr>
          <w:sz w:val="20"/>
          <w:szCs w:val="20"/>
          <w:color w:val="auto"/>
        </w:rPr>
        <w:tab/>
      </w:r>
      <w:r>
        <w:rPr>
          <w:rFonts w:ascii="Arial" w:cs="Arial" w:eastAsia="Arial" w:hAnsi="Arial"/>
          <w:sz w:val="13"/>
          <w:szCs w:val="13"/>
          <w:u w:val="single" w:color="auto"/>
          <w:color w:val="auto"/>
        </w:rPr>
        <w:t>Qualification</w:t>
      </w:r>
      <w:r>
        <w:rPr>
          <w:rFonts w:ascii="Arial" w:cs="Arial" w:eastAsia="Arial" w:hAnsi="Arial"/>
          <w:sz w:val="13"/>
          <w:szCs w:val="13"/>
          <w:color w:val="auto"/>
        </w:rPr>
        <w:t>. No officer need be a stockholder or a director. Any person may occupy more than one office of the Corporation at any time.</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Tenure</w:t>
      </w:r>
      <w:r>
        <w:rPr>
          <w:rFonts w:ascii="Arial" w:cs="Arial" w:eastAsia="Arial" w:hAnsi="Arial"/>
          <w:sz w:val="14"/>
          <w:szCs w:val="14"/>
          <w:color w:val="auto"/>
        </w:rPr>
        <w:t>. Except as otherwise provided by the Certificate or by these Bylaws, each of the officers of the Corporation shall hold office until his or her successor is elected and qualified or until his or her earlier resignation or removal.</w:t>
      </w:r>
    </w:p>
    <w:p>
      <w:pPr>
        <w:spacing w:after="0" w:line="13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Resignation</w:t>
      </w:r>
      <w:r>
        <w:rPr>
          <w:rFonts w:ascii="Arial" w:cs="Arial" w:eastAsia="Arial" w:hAnsi="Arial"/>
          <w:sz w:val="14"/>
          <w:szCs w:val="14"/>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3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Removal</w:t>
      </w:r>
      <w:r>
        <w:rPr>
          <w:rFonts w:ascii="Arial" w:cs="Arial" w:eastAsia="Arial" w:hAnsi="Arial"/>
          <w:sz w:val="14"/>
          <w:szCs w:val="14"/>
          <w:color w:val="auto"/>
        </w:rPr>
        <w:t>. Except as otherwise provided by law, the Board of Directors may remove any officer with or without cause by the affirmative vote of a majority of the directors then in office.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48" w:name="page349"/>
    <w:bookmarkEnd w:id="348"/>
    <w:p>
      <w:pPr>
        <w:jc w:val="both"/>
        <w:ind w:firstLine="1028"/>
        <w:spacing w:after="0" w:line="285"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Absence or Disability</w:t>
      </w:r>
      <w:r>
        <w:rPr>
          <w:rFonts w:ascii="Arial" w:cs="Arial" w:eastAsia="Arial" w:hAnsi="Arial"/>
          <w:sz w:val="14"/>
          <w:szCs w:val="14"/>
          <w:color w:val="auto"/>
        </w:rPr>
        <w:t>. In the event of the absence or disability of any officer, the Board of Directors may designate another officer to act temporarily in place of such absent or disabled officer.</w:t>
      </w:r>
    </w:p>
    <w:p>
      <w:pPr>
        <w:spacing w:after="0" w:line="13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3.8.</w:t>
      </w:r>
      <w:r>
        <w:rPr>
          <w:sz w:val="20"/>
          <w:szCs w:val="20"/>
          <w:color w:val="auto"/>
        </w:rPr>
        <w:tab/>
      </w:r>
      <w:r>
        <w:rPr>
          <w:rFonts w:ascii="Arial" w:cs="Arial" w:eastAsia="Arial" w:hAnsi="Arial"/>
          <w:sz w:val="13"/>
          <w:szCs w:val="13"/>
          <w:u w:val="single" w:color="auto"/>
          <w:color w:val="auto"/>
        </w:rPr>
        <w:t>Vacancies</w:t>
      </w:r>
      <w:r>
        <w:rPr>
          <w:rFonts w:ascii="Arial" w:cs="Arial" w:eastAsia="Arial" w:hAnsi="Arial"/>
          <w:sz w:val="13"/>
          <w:szCs w:val="13"/>
          <w:color w:val="auto"/>
        </w:rPr>
        <w:t>. Any vacancy in any office may be filled for the unexpired portion of the term by the Board of Directors.</w:t>
      </w:r>
    </w:p>
    <w:p>
      <w:pPr>
        <w:spacing w:after="0" w:line="182" w:lineRule="exact"/>
        <w:rPr>
          <w:sz w:val="20"/>
          <w:szCs w:val="20"/>
          <w:color w:val="auto"/>
        </w:rPr>
      </w:pPr>
    </w:p>
    <w:p>
      <w:pPr>
        <w:jc w:val="both"/>
        <w:ind w:firstLine="1028"/>
        <w:spacing w:after="0" w:line="283" w:lineRule="auto"/>
        <w:rPr>
          <w:sz w:val="20"/>
          <w:szCs w:val="20"/>
          <w:color w:val="auto"/>
        </w:rPr>
      </w:pPr>
      <w:r>
        <w:rPr>
          <w:rFonts w:ascii="Arial" w:cs="Arial" w:eastAsia="Arial" w:hAnsi="Arial"/>
          <w:sz w:val="13"/>
          <w:szCs w:val="13"/>
          <w:color w:val="auto"/>
        </w:rPr>
        <w:t xml:space="preserve">Section 3.9. </w:t>
      </w:r>
      <w:r>
        <w:rPr>
          <w:rFonts w:ascii="Arial" w:cs="Arial" w:eastAsia="Arial" w:hAnsi="Arial"/>
          <w:sz w:val="13"/>
          <w:szCs w:val="13"/>
          <w:u w:val="single" w:color="auto"/>
          <w:color w:val="auto"/>
        </w:rPr>
        <w:t>President; Chief Executive Officer.</w:t>
      </w:r>
      <w:r>
        <w:rPr>
          <w:rFonts w:ascii="Arial" w:cs="Arial" w:eastAsia="Arial" w:hAnsi="Arial"/>
          <w:sz w:val="13"/>
          <w:szCs w:val="13"/>
          <w:color w:val="auto"/>
        </w:rPr>
        <w:t xml:space="preserve">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37"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Chairperson of the Board</w:t>
      </w:r>
      <w:r>
        <w:rPr>
          <w:rFonts w:ascii="Arial" w:cs="Arial" w:eastAsia="Arial" w:hAnsi="Arial"/>
          <w:sz w:val="14"/>
          <w:szCs w:val="14"/>
          <w:color w:val="auto"/>
        </w:rPr>
        <w:t>. Subject to the provisions of Section 2.14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4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Vice Presidents and Assistant Vice Presidents</w:t>
      </w:r>
      <w:r>
        <w:rPr>
          <w:rFonts w:ascii="Arial" w:cs="Arial" w:eastAsia="Arial" w:hAnsi="Arial"/>
          <w:sz w:val="14"/>
          <w:szCs w:val="14"/>
          <w:color w:val="auto"/>
        </w:rPr>
        <w:t>. Any Vice President and any Assistant Vice President shall have such powers and shall perform such duties as the Board of Directors or the Chief Executive Officer may from time to time designate.</w:t>
      </w:r>
    </w:p>
    <w:p>
      <w:pPr>
        <w:spacing w:after="0" w:line="132" w:lineRule="exact"/>
        <w:rPr>
          <w:sz w:val="20"/>
          <w:szCs w:val="20"/>
          <w:color w:val="auto"/>
        </w:rPr>
      </w:pPr>
    </w:p>
    <w:p>
      <w:pPr>
        <w:jc w:val="both"/>
        <w:ind w:firstLine="1028"/>
        <w:spacing w:after="0" w:line="292" w:lineRule="auto"/>
        <w:rPr>
          <w:sz w:val="20"/>
          <w:szCs w:val="20"/>
          <w:color w:val="auto"/>
        </w:rPr>
      </w:pPr>
      <w:r>
        <w:rPr>
          <w:rFonts w:ascii="Arial" w:cs="Arial" w:eastAsia="Arial" w:hAnsi="Arial"/>
          <w:sz w:val="13"/>
          <w:szCs w:val="13"/>
          <w:color w:val="auto"/>
        </w:rPr>
        <w:t xml:space="preserve">Section 3.12. </w:t>
      </w:r>
      <w:r>
        <w:rPr>
          <w:rFonts w:ascii="Arial" w:cs="Arial" w:eastAsia="Arial" w:hAnsi="Arial"/>
          <w:sz w:val="13"/>
          <w:szCs w:val="13"/>
          <w:u w:val="single" w:color="auto"/>
          <w:color w:val="auto"/>
        </w:rPr>
        <w:t>Treasurer and Assistant Treasurers</w:t>
      </w:r>
      <w:r>
        <w:rPr>
          <w:rFonts w:ascii="Arial" w:cs="Arial" w:eastAsia="Arial" w:hAnsi="Arial"/>
          <w:sz w:val="13"/>
          <w:szCs w:val="13"/>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9"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3.13. </w:t>
      </w:r>
      <w:r>
        <w:rPr>
          <w:rFonts w:ascii="Arial" w:cs="Arial" w:eastAsia="Arial" w:hAnsi="Arial"/>
          <w:sz w:val="14"/>
          <w:szCs w:val="14"/>
          <w:u w:val="single" w:color="auto"/>
          <w:color w:val="auto"/>
        </w:rPr>
        <w:t>Secretary and Assistant Secretaries</w:t>
      </w:r>
      <w:r>
        <w:rPr>
          <w:rFonts w:ascii="Arial" w:cs="Arial" w:eastAsia="Arial" w:hAnsi="Arial"/>
          <w:sz w:val="14"/>
          <w:szCs w:val="14"/>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49" w:name="page350"/>
    <w:bookmarkEnd w:id="349"/>
    <w:p>
      <w:pPr>
        <w:jc w:val="both"/>
        <w:spacing w:after="0" w:line="292" w:lineRule="auto"/>
        <w:rPr>
          <w:sz w:val="20"/>
          <w:szCs w:val="20"/>
          <w:color w:val="auto"/>
        </w:rPr>
      </w:pPr>
      <w:r>
        <w:rPr>
          <w:rFonts w:ascii="Arial" w:cs="Arial" w:eastAsia="Arial" w:hAnsi="Arial"/>
          <w:sz w:val="13"/>
          <w:szCs w:val="13"/>
          <w:color w:val="auto"/>
        </w:rPr>
        <w:t>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9"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3.14. </w:t>
      </w:r>
      <w:r>
        <w:rPr>
          <w:rFonts w:ascii="Arial" w:cs="Arial" w:eastAsia="Arial" w:hAnsi="Arial"/>
          <w:sz w:val="14"/>
          <w:szCs w:val="14"/>
          <w:u w:val="single" w:color="auto"/>
          <w:color w:val="auto"/>
        </w:rPr>
        <w:t>Other Powers and Duties</w:t>
      </w:r>
      <w:r>
        <w:rPr>
          <w:rFonts w:ascii="Arial" w:cs="Arial" w:eastAsia="Arial" w:hAnsi="Arial"/>
          <w:sz w:val="14"/>
          <w:szCs w:val="14"/>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4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ARTICLE IV</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4"/>
          <w:szCs w:val="14"/>
          <w:u w:val="single" w:color="auto"/>
          <w:color w:val="auto"/>
        </w:rPr>
        <w:t>Capital Stock</w:t>
      </w:r>
    </w:p>
    <w:p>
      <w:pPr>
        <w:spacing w:after="0" w:line="172" w:lineRule="exact"/>
        <w:rPr>
          <w:sz w:val="20"/>
          <w:szCs w:val="20"/>
          <w:color w:val="auto"/>
        </w:rPr>
      </w:pPr>
    </w:p>
    <w:p>
      <w:pPr>
        <w:jc w:val="both"/>
        <w:ind w:firstLine="1028"/>
        <w:spacing w:after="0" w:line="281" w:lineRule="auto"/>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Certificates of Stock</w:t>
      </w:r>
      <w:r>
        <w:rPr>
          <w:rFonts w:ascii="Arial" w:cs="Arial" w:eastAsia="Arial" w:hAnsi="Arial"/>
          <w:sz w:val="13"/>
          <w:szCs w:val="13"/>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Corporation’s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38" w:lineRule="exact"/>
        <w:rPr>
          <w:sz w:val="20"/>
          <w:szCs w:val="20"/>
          <w:color w:val="auto"/>
        </w:rPr>
      </w:pPr>
    </w:p>
    <w:p>
      <w:pPr>
        <w:jc w:val="both"/>
        <w:ind w:firstLine="1028"/>
        <w:spacing w:after="0" w:line="262"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Transfers</w:t>
      </w:r>
      <w:r>
        <w:rPr>
          <w:rFonts w:ascii="Arial" w:cs="Arial" w:eastAsia="Arial" w:hAnsi="Arial"/>
          <w:sz w:val="14"/>
          <w:szCs w:val="14"/>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0" w:name="page351"/>
    <w:bookmarkEnd w:id="350"/>
    <w:p>
      <w:pPr>
        <w:jc w:val="both"/>
        <w:ind w:firstLine="1028"/>
        <w:spacing w:after="0" w:line="270"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Record Holders</w:t>
      </w:r>
      <w:r>
        <w:rPr>
          <w:rFonts w:ascii="Arial" w:cs="Arial" w:eastAsia="Arial" w:hAnsi="Arial"/>
          <w:sz w:val="14"/>
          <w:szCs w:val="14"/>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42" w:lineRule="exact"/>
        <w:rPr>
          <w:sz w:val="20"/>
          <w:szCs w:val="20"/>
          <w:color w:val="auto"/>
        </w:rPr>
      </w:pPr>
    </w:p>
    <w:p>
      <w:pPr>
        <w:jc w:val="both"/>
        <w:ind w:firstLine="1028"/>
        <w:spacing w:after="0" w:line="282" w:lineRule="auto"/>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Record Date</w:t>
      </w:r>
      <w:r>
        <w:rPr>
          <w:rFonts w:ascii="Arial" w:cs="Arial" w:eastAsia="Arial" w:hAnsi="Arial"/>
          <w:sz w:val="13"/>
          <w:szCs w:val="13"/>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7"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Replacement of Certificates</w:t>
      </w:r>
      <w:r>
        <w:rPr>
          <w:rFonts w:ascii="Arial" w:cs="Arial" w:eastAsia="Arial" w:hAnsi="Arial"/>
          <w:sz w:val="14"/>
          <w:szCs w:val="14"/>
          <w:color w:val="auto"/>
        </w:rPr>
        <w:t>. In case of the alleged loss, destruction or mutilation of a certificate of stock of the Corporation, a duplicate certificate may be issued in place thereof, upon such terms as the Board of Directors may prescribe.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Indemnification</w:t>
      </w:r>
    </w:p>
    <w:p>
      <w:pPr>
        <w:spacing w:after="0" w:line="17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5.1.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w:t>
      </w:r>
    </w:p>
    <w:p>
      <w:pPr>
        <w:spacing w:after="0" w:line="182" w:lineRule="exact"/>
        <w:rPr>
          <w:sz w:val="20"/>
          <w:szCs w:val="20"/>
          <w:color w:val="auto"/>
        </w:rPr>
      </w:pPr>
    </w:p>
    <w:p>
      <w:pPr>
        <w:jc w:val="both"/>
        <w:ind w:firstLine="1548"/>
        <w:spacing w:after="0" w:line="260" w:lineRule="auto"/>
        <w:tabs>
          <w:tab w:leader="none" w:pos="1968" w:val="left"/>
        </w:tabs>
        <w:numPr>
          <w:ilvl w:val="0"/>
          <w:numId w:val="205"/>
        </w:numPr>
        <w:rPr>
          <w:rFonts w:ascii="Arial" w:cs="Arial" w:eastAsia="Arial" w:hAnsi="Arial"/>
          <w:sz w:val="14"/>
          <w:szCs w:val="14"/>
          <w:color w:val="auto"/>
        </w:rPr>
      </w:pPr>
      <w:r>
        <w:rPr>
          <w:rFonts w:ascii="Arial" w:cs="Arial" w:eastAsia="Arial" w:hAnsi="Arial"/>
          <w:sz w:val="14"/>
          <w:szCs w:val="14"/>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5.1(a),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1" w:name="page352"/>
    <w:bookmarkEnd w:id="351"/>
    <w:p>
      <w:pPr>
        <w:ind w:left="1980" w:hanging="432"/>
        <w:spacing w:after="0"/>
        <w:tabs>
          <w:tab w:leader="none" w:pos="1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“Director” means any person who serves or has served the Corporation as a director on the Board of Directors;</w:t>
      </w:r>
    </w:p>
    <w:p>
      <w:pPr>
        <w:spacing w:after="0" w:line="181" w:lineRule="exact"/>
        <w:rPr>
          <w:rFonts w:ascii="Arial" w:cs="Arial" w:eastAsia="Arial" w:hAnsi="Arial"/>
          <w:sz w:val="14"/>
          <w:szCs w:val="14"/>
          <w:color w:val="auto"/>
        </w:rPr>
      </w:pPr>
    </w:p>
    <w:p>
      <w:pPr>
        <w:ind w:firstLine="1548"/>
        <w:spacing w:after="0" w:line="285" w:lineRule="auto"/>
        <w:tabs>
          <w:tab w:leader="none" w:pos="1968" w:val="left"/>
        </w:tabs>
        <w:numPr>
          <w:ilvl w:val="0"/>
          <w:numId w:val="206"/>
        </w:numPr>
        <w:rPr>
          <w:rFonts w:ascii="Arial" w:cs="Arial" w:eastAsia="Arial" w:hAnsi="Arial"/>
          <w:sz w:val="14"/>
          <w:szCs w:val="14"/>
          <w:color w:val="auto"/>
        </w:rPr>
      </w:pPr>
      <w:r>
        <w:rPr>
          <w:rFonts w:ascii="Arial" w:cs="Arial" w:eastAsia="Arial" w:hAnsi="Arial"/>
          <w:sz w:val="14"/>
          <w:szCs w:val="14"/>
          <w:color w:val="auto"/>
        </w:rPr>
        <w:t>“Disinterested Director” means, with respect to each Proceeding in respect of which indemnification is sought hereunder, a Director of the Corporation who is not and was not a party to such Proceeding;</w:t>
      </w:r>
    </w:p>
    <w:p>
      <w:pPr>
        <w:spacing w:after="0" w:line="131" w:lineRule="exact"/>
        <w:rPr>
          <w:rFonts w:ascii="Arial" w:cs="Arial" w:eastAsia="Arial" w:hAnsi="Arial"/>
          <w:sz w:val="14"/>
          <w:szCs w:val="14"/>
          <w:color w:val="auto"/>
        </w:rPr>
      </w:pPr>
    </w:p>
    <w:p>
      <w:pPr>
        <w:jc w:val="both"/>
        <w:ind w:firstLine="1548"/>
        <w:spacing w:after="0" w:line="262" w:lineRule="auto"/>
        <w:tabs>
          <w:tab w:leader="none" w:pos="1987" w:val="left"/>
        </w:tabs>
        <w:numPr>
          <w:ilvl w:val="0"/>
          <w:numId w:val="206"/>
        </w:numPr>
        <w:rPr>
          <w:rFonts w:ascii="Arial" w:cs="Arial" w:eastAsia="Arial" w:hAnsi="Arial"/>
          <w:sz w:val="14"/>
          <w:szCs w:val="14"/>
          <w:color w:val="auto"/>
        </w:rPr>
      </w:pPr>
      <w:r>
        <w:rPr>
          <w:rFonts w:ascii="Arial" w:cs="Arial" w:eastAsia="Arial" w:hAnsi="Arial"/>
          <w:sz w:val="14"/>
          <w:szCs w:val="14"/>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49" w:lineRule="exact"/>
        <w:rPr>
          <w:rFonts w:ascii="Arial" w:cs="Arial" w:eastAsia="Arial" w:hAnsi="Arial"/>
          <w:sz w:val="14"/>
          <w:szCs w:val="14"/>
          <w:color w:val="auto"/>
        </w:rPr>
      </w:pPr>
    </w:p>
    <w:p>
      <w:pPr>
        <w:ind w:left="1980" w:hanging="432"/>
        <w:spacing w:after="0"/>
        <w:tabs>
          <w:tab w:leader="none" w:pos="1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“Liabilities” means judgments, damages, liabilities, losses, penalties, excise taxes, fines and amounts paid in settlement;</w:t>
      </w:r>
    </w:p>
    <w:p>
      <w:pPr>
        <w:spacing w:after="0" w:line="181" w:lineRule="exact"/>
        <w:rPr>
          <w:rFonts w:ascii="Arial" w:cs="Arial" w:eastAsia="Arial" w:hAnsi="Arial"/>
          <w:sz w:val="14"/>
          <w:szCs w:val="14"/>
          <w:color w:val="auto"/>
        </w:rPr>
      </w:pPr>
    </w:p>
    <w:p>
      <w:pPr>
        <w:ind w:left="1960" w:hanging="412"/>
        <w:spacing w:after="0"/>
        <w:tabs>
          <w:tab w:leader="none" w:pos="196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“Non-Officer Employee” means any person who serves or has served as an employee or agent of the Corporation, but who is not or was not a Director or Officer;</w:t>
      </w:r>
    </w:p>
    <w:p>
      <w:pPr>
        <w:spacing w:after="0" w:line="193" w:lineRule="exact"/>
        <w:rPr>
          <w:rFonts w:ascii="Arial" w:cs="Arial" w:eastAsia="Arial" w:hAnsi="Arial"/>
          <w:sz w:val="13"/>
          <w:szCs w:val="13"/>
          <w:color w:val="auto"/>
        </w:rPr>
      </w:pPr>
    </w:p>
    <w:p>
      <w:pPr>
        <w:ind w:left="1980" w:hanging="432"/>
        <w:spacing w:after="0"/>
        <w:tabs>
          <w:tab w:leader="none" w:pos="19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“Officer” means any person who serves or has served the Corporation as an officer of the Corporation appointed by the Board of Directors;</w:t>
      </w:r>
    </w:p>
    <w:p>
      <w:pPr>
        <w:spacing w:after="0" w:line="181" w:lineRule="exact"/>
        <w:rPr>
          <w:rFonts w:ascii="Arial" w:cs="Arial" w:eastAsia="Arial" w:hAnsi="Arial"/>
          <w:sz w:val="14"/>
          <w:szCs w:val="14"/>
          <w:color w:val="auto"/>
        </w:rPr>
      </w:pPr>
    </w:p>
    <w:p>
      <w:pPr>
        <w:ind w:firstLine="1548"/>
        <w:spacing w:after="0" w:line="285" w:lineRule="auto"/>
        <w:tabs>
          <w:tab w:leader="none" w:pos="194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1" w:lineRule="exact"/>
        <w:rPr>
          <w:rFonts w:ascii="Arial" w:cs="Arial" w:eastAsia="Arial" w:hAnsi="Arial"/>
          <w:sz w:val="14"/>
          <w:szCs w:val="14"/>
          <w:color w:val="auto"/>
        </w:rPr>
      </w:pPr>
    </w:p>
    <w:p>
      <w:pPr>
        <w:jc w:val="both"/>
        <w:ind w:firstLine="1548"/>
        <w:spacing w:after="0" w:line="265" w:lineRule="auto"/>
        <w:tabs>
          <w:tab w:leader="none" w:pos="1955" w:val="left"/>
        </w:tabs>
        <w:numPr>
          <w:ilvl w:val="0"/>
          <w:numId w:val="206"/>
        </w:numPr>
        <w:rPr>
          <w:rFonts w:ascii="Arial" w:cs="Arial" w:eastAsia="Arial" w:hAnsi="Arial"/>
          <w:sz w:val="14"/>
          <w:szCs w:val="14"/>
          <w:color w:val="auto"/>
        </w:rPr>
      </w:pPr>
      <w:r>
        <w:rPr>
          <w:rFonts w:ascii="Arial" w:cs="Arial" w:eastAsia="Arial" w:hAnsi="Arial"/>
          <w:sz w:val="14"/>
          <w:szCs w:val="14"/>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46" w:lineRule="exact"/>
        <w:rPr>
          <w:sz w:val="20"/>
          <w:szCs w:val="20"/>
          <w:color w:val="auto"/>
        </w:rPr>
      </w:pPr>
    </w:p>
    <w:p>
      <w:pPr>
        <w:ind w:left="1040"/>
        <w:spacing w:after="0"/>
        <w:tabs>
          <w:tab w:leader="none" w:pos="1960" w:val="left"/>
        </w:tabs>
        <w:rPr>
          <w:sz w:val="20"/>
          <w:szCs w:val="20"/>
          <w:color w:val="auto"/>
        </w:rPr>
      </w:pPr>
      <w:r>
        <w:rPr>
          <w:rFonts w:ascii="Arial" w:cs="Arial" w:eastAsia="Arial" w:hAnsi="Arial"/>
          <w:sz w:val="14"/>
          <w:szCs w:val="14"/>
          <w:color w:val="auto"/>
        </w:rPr>
        <w:t>Section 5.2.</w:t>
      </w:r>
      <w:r>
        <w:rPr>
          <w:sz w:val="20"/>
          <w:szCs w:val="20"/>
          <w:color w:val="auto"/>
        </w:rPr>
        <w:tab/>
      </w:r>
      <w:r>
        <w:rPr>
          <w:rFonts w:ascii="Arial" w:cs="Arial" w:eastAsia="Arial" w:hAnsi="Arial"/>
          <w:sz w:val="13"/>
          <w:szCs w:val="13"/>
          <w:u w:val="single" w:color="auto"/>
          <w:color w:val="auto"/>
        </w:rPr>
        <w:t>Indemnification of Directors and Officers</w:t>
      </w:r>
      <w:r>
        <w:rPr>
          <w:rFonts w:ascii="Arial" w:cs="Arial" w:eastAsia="Arial" w:hAnsi="Arial"/>
          <w:sz w:val="13"/>
          <w:szCs w:val="13"/>
          <w:color w:val="auto"/>
        </w:rPr>
        <w:t>.</w:t>
      </w:r>
    </w:p>
    <w:p>
      <w:pPr>
        <w:spacing w:after="0" w:line="182" w:lineRule="exact"/>
        <w:rPr>
          <w:sz w:val="20"/>
          <w:szCs w:val="20"/>
          <w:color w:val="auto"/>
        </w:rPr>
      </w:pPr>
    </w:p>
    <w:p>
      <w:pPr>
        <w:ind w:firstLine="1548"/>
        <w:spacing w:after="0" w:line="325" w:lineRule="auto"/>
        <w:tabs>
          <w:tab w:leader="none" w:pos="1968"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Subject to the operation of Section 5.4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color w:val="auto"/>
        </w:rPr>
        <w:t>provide broader indemnification rights than such law permitted the Corporation to provide prior to such amendment), and to the extent authorized in this Section 5.2.</w:t>
      </w:r>
    </w:p>
    <w:p>
      <w:pPr>
        <w:spacing w:after="0" w:line="182" w:lineRule="exact"/>
        <w:rPr>
          <w:sz w:val="20"/>
          <w:szCs w:val="20"/>
          <w:color w:val="auto"/>
        </w:rPr>
      </w:pPr>
    </w:p>
    <w:p>
      <w:pPr>
        <w:jc w:val="both"/>
        <w:ind w:firstLine="2062"/>
        <w:spacing w:after="0" w:line="287" w:lineRule="auto"/>
        <w:tabs>
          <w:tab w:leader="none" w:pos="2472" w:val="left"/>
        </w:tabs>
        <w:numPr>
          <w:ilvl w:val="0"/>
          <w:numId w:val="208"/>
        </w:numPr>
        <w:rPr>
          <w:rFonts w:ascii="Arial" w:cs="Arial" w:eastAsia="Arial" w:hAnsi="Arial"/>
          <w:sz w:val="13"/>
          <w:szCs w:val="13"/>
          <w:color w:val="auto"/>
        </w:rPr>
      </w:pPr>
      <w:r>
        <w:rPr>
          <w:rFonts w:ascii="Arial" w:cs="Arial" w:eastAsia="Arial" w:hAnsi="Arial"/>
          <w:sz w:val="13"/>
          <w:szCs w:val="13"/>
          <w:u w:val="single" w:color="auto"/>
          <w:color w:val="auto"/>
        </w:rPr>
        <w:t>Actions, Suits and Proceedings Other than By or In the Right of the Corporation</w:t>
      </w:r>
      <w:r>
        <w:rPr>
          <w:rFonts w:ascii="Arial" w:cs="Arial" w:eastAsia="Arial" w:hAnsi="Arial"/>
          <w:sz w:val="13"/>
          <w:szCs w:val="13"/>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34" w:lineRule="exact"/>
        <w:rPr>
          <w:rFonts w:ascii="Arial" w:cs="Arial" w:eastAsia="Arial" w:hAnsi="Arial"/>
          <w:sz w:val="13"/>
          <w:szCs w:val="13"/>
          <w:color w:val="auto"/>
        </w:rPr>
      </w:pPr>
    </w:p>
    <w:p>
      <w:pPr>
        <w:jc w:val="both"/>
        <w:ind w:firstLine="2062"/>
        <w:spacing w:after="0" w:line="259" w:lineRule="auto"/>
        <w:tabs>
          <w:tab w:leader="none" w:pos="2515"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Actions, Suits and Proceedings By or In the Right of the Corporation</w:t>
      </w:r>
      <w:r>
        <w:rPr>
          <w:rFonts w:ascii="Arial" w:cs="Arial" w:eastAsia="Arial" w:hAnsi="Arial"/>
          <w:sz w:val="14"/>
          <w:szCs w:val="14"/>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52" w:lineRule="exact"/>
        <w:rPr>
          <w:rFonts w:ascii="Arial" w:cs="Arial" w:eastAsia="Arial" w:hAnsi="Arial"/>
          <w:sz w:val="14"/>
          <w:szCs w:val="14"/>
          <w:color w:val="auto"/>
        </w:rPr>
      </w:pPr>
    </w:p>
    <w:p>
      <w:pPr>
        <w:ind w:firstLine="2062"/>
        <w:spacing w:after="0" w:line="285" w:lineRule="auto"/>
        <w:tabs>
          <w:tab w:leader="none" w:pos="2472"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Survival of Rights</w:t>
      </w:r>
      <w:r>
        <w:rPr>
          <w:rFonts w:ascii="Arial" w:cs="Arial" w:eastAsia="Arial" w:hAnsi="Arial"/>
          <w:sz w:val="14"/>
          <w:szCs w:val="14"/>
          <w:color w:val="auto"/>
        </w:rPr>
        <w:t>. The rights of indemnification provided by this Section 5.2 shall continue as to a Director or Officer after he or she has ceased to be a Director or Officer and shall inure to the benefit of his or her heirs, executors, administrators and personal representatives.</w:t>
      </w:r>
    </w:p>
    <w:p>
      <w:pPr>
        <w:spacing w:after="0" w:line="131" w:lineRule="exact"/>
        <w:rPr>
          <w:rFonts w:ascii="Arial" w:cs="Arial" w:eastAsia="Arial" w:hAnsi="Arial"/>
          <w:sz w:val="14"/>
          <w:szCs w:val="14"/>
          <w:color w:val="auto"/>
        </w:rPr>
      </w:pPr>
    </w:p>
    <w:p>
      <w:pPr>
        <w:jc w:val="both"/>
        <w:ind w:firstLine="2062"/>
        <w:spacing w:after="0" w:line="265" w:lineRule="auto"/>
        <w:tabs>
          <w:tab w:leader="none" w:pos="2504"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Actions by Directors or Officers</w:t>
      </w:r>
      <w:r>
        <w:rPr>
          <w:rFonts w:ascii="Arial" w:cs="Arial" w:eastAsia="Arial" w:hAnsi="Arial"/>
          <w:sz w:val="14"/>
          <w:szCs w:val="14"/>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46" w:lineRule="exact"/>
        <w:rPr>
          <w:sz w:val="20"/>
          <w:szCs w:val="20"/>
          <w:color w:val="auto"/>
        </w:rPr>
      </w:pPr>
    </w:p>
    <w:p>
      <w:pPr>
        <w:ind w:firstLine="1028"/>
        <w:spacing w:after="0" w:line="325" w:lineRule="auto"/>
        <w:rPr>
          <w:sz w:val="20"/>
          <w:szCs w:val="20"/>
          <w:color w:val="auto"/>
        </w:rPr>
      </w:pPr>
      <w:r>
        <w:rPr>
          <w:rFonts w:ascii="Arial" w:cs="Arial" w:eastAsia="Arial" w:hAnsi="Arial"/>
          <w:sz w:val="13"/>
          <w:szCs w:val="13"/>
          <w:color w:val="auto"/>
        </w:rPr>
        <w:t xml:space="preserve">Section 5.3. </w:t>
      </w:r>
      <w:r>
        <w:rPr>
          <w:rFonts w:ascii="Arial" w:cs="Arial" w:eastAsia="Arial" w:hAnsi="Arial"/>
          <w:sz w:val="13"/>
          <w:szCs w:val="13"/>
          <w:u w:val="single" w:color="auto"/>
          <w:color w:val="auto"/>
        </w:rPr>
        <w:t>Indemnification of Non-Officer Employees</w:t>
      </w:r>
      <w:r>
        <w:rPr>
          <w:rFonts w:ascii="Arial" w:cs="Arial" w:eastAsia="Arial" w:hAnsi="Arial"/>
          <w:sz w:val="13"/>
          <w:szCs w:val="13"/>
          <w:color w:val="auto"/>
        </w:rPr>
        <w:t>. Subject to the operation of Section 5.4 of these Bylaws, each Non-Officer Employee may, in the discretion of the Board of Directors, be indemnified by the Corporation to the fullest extent authorized by the DGCL, as the same exists or may hereafter be amended, against any or all Expenses and</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3" w:name="page354"/>
    <w:bookmarkEnd w:id="353"/>
    <w:p>
      <w:pPr>
        <w:jc w:val="both"/>
        <w:spacing w:after="0" w:line="260" w:lineRule="auto"/>
        <w:rPr>
          <w:sz w:val="20"/>
          <w:szCs w:val="20"/>
          <w:color w:val="auto"/>
        </w:rPr>
      </w:pPr>
      <w:r>
        <w:rPr>
          <w:rFonts w:ascii="Arial" w:cs="Arial" w:eastAsia="Arial" w:hAnsi="Arial"/>
          <w:sz w:val="14"/>
          <w:szCs w:val="14"/>
          <w:color w:val="auto"/>
        </w:rPr>
        <w:t>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50" w:lineRule="exact"/>
        <w:rPr>
          <w:sz w:val="20"/>
          <w:szCs w:val="20"/>
          <w:color w:val="auto"/>
        </w:rPr>
      </w:pPr>
    </w:p>
    <w:p>
      <w:pPr>
        <w:jc w:val="both"/>
        <w:ind w:firstLine="1028"/>
        <w:spacing w:after="0" w:line="261"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Determination</w:t>
      </w:r>
      <w:r>
        <w:rPr>
          <w:rFonts w:ascii="Arial" w:cs="Arial" w:eastAsia="Arial" w:hAnsi="Arial"/>
          <w:sz w:val="14"/>
          <w:szCs w:val="14"/>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49"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5.5.</w:t>
      </w:r>
      <w:r>
        <w:rPr>
          <w:sz w:val="20"/>
          <w:szCs w:val="20"/>
          <w:color w:val="auto"/>
        </w:rPr>
        <w:tab/>
      </w:r>
      <w:r>
        <w:rPr>
          <w:rFonts w:ascii="Arial" w:cs="Arial" w:eastAsia="Arial" w:hAnsi="Arial"/>
          <w:sz w:val="13"/>
          <w:szCs w:val="13"/>
          <w:u w:val="single" w:color="auto"/>
          <w:color w:val="auto"/>
        </w:rPr>
        <w:t>Advancement of Expenses to Directors Prior to Final Disposition</w:t>
      </w:r>
      <w:r>
        <w:rPr>
          <w:rFonts w:ascii="Arial" w:cs="Arial" w:eastAsia="Arial" w:hAnsi="Arial"/>
          <w:sz w:val="13"/>
          <w:szCs w:val="13"/>
          <w:color w:val="auto"/>
        </w:rPr>
        <w:t>.</w:t>
      </w:r>
    </w:p>
    <w:p>
      <w:pPr>
        <w:spacing w:after="0" w:line="182" w:lineRule="exact"/>
        <w:rPr>
          <w:sz w:val="20"/>
          <w:szCs w:val="20"/>
          <w:color w:val="auto"/>
        </w:rPr>
      </w:pPr>
    </w:p>
    <w:p>
      <w:pPr>
        <w:jc w:val="both"/>
        <w:ind w:firstLine="1548"/>
        <w:spacing w:after="0" w:line="260" w:lineRule="auto"/>
        <w:tabs>
          <w:tab w:leader="none" w:pos="1961"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49" w:lineRule="exact"/>
        <w:rPr>
          <w:rFonts w:ascii="Arial" w:cs="Arial" w:eastAsia="Arial" w:hAnsi="Arial"/>
          <w:sz w:val="14"/>
          <w:szCs w:val="14"/>
          <w:color w:val="auto"/>
        </w:rPr>
      </w:pPr>
    </w:p>
    <w:p>
      <w:pPr>
        <w:ind w:firstLine="1548"/>
        <w:spacing w:after="0" w:line="325" w:lineRule="auto"/>
        <w:tabs>
          <w:tab w:leader="none" w:pos="1987" w:val="left"/>
        </w:tabs>
        <w:numPr>
          <w:ilvl w:val="0"/>
          <w:numId w:val="209"/>
        </w:numPr>
        <w:rPr>
          <w:rFonts w:ascii="Arial" w:cs="Arial" w:eastAsia="Arial" w:hAnsi="Arial"/>
          <w:sz w:val="13"/>
          <w:szCs w:val="13"/>
          <w:color w:val="auto"/>
        </w:rPr>
      </w:pPr>
      <w:r>
        <w:rPr>
          <w:rFonts w:ascii="Arial" w:cs="Arial" w:eastAsia="Arial" w:hAnsi="Arial"/>
          <w:sz w:val="13"/>
          <w:szCs w:val="13"/>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4" w:name="page355"/>
    <w:bookmarkEnd w:id="354"/>
    <w:p>
      <w:pPr>
        <w:jc w:val="both"/>
        <w:spacing w:after="0" w:line="265" w:lineRule="auto"/>
        <w:rPr>
          <w:sz w:val="20"/>
          <w:szCs w:val="20"/>
          <w:color w:val="auto"/>
        </w:rPr>
      </w:pPr>
      <w:r>
        <w:rPr>
          <w:rFonts w:ascii="Arial" w:cs="Arial" w:eastAsia="Arial" w:hAnsi="Arial"/>
          <w:sz w:val="14"/>
          <w:szCs w:val="14"/>
          <w:color w:val="auto"/>
        </w:rPr>
        <w:t>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46" w:lineRule="exact"/>
        <w:rPr>
          <w:sz w:val="20"/>
          <w:szCs w:val="20"/>
          <w:color w:val="auto"/>
        </w:rPr>
      </w:pPr>
    </w:p>
    <w:p>
      <w:pPr>
        <w:ind w:firstLine="1548"/>
        <w:spacing w:after="0" w:line="285" w:lineRule="auto"/>
        <w:tabs>
          <w:tab w:leader="none" w:pos="1968" w:val="left"/>
        </w:tabs>
        <w:numPr>
          <w:ilvl w:val="0"/>
          <w:numId w:val="210"/>
        </w:numPr>
        <w:rPr>
          <w:rFonts w:ascii="Arial" w:cs="Arial" w:eastAsia="Arial" w:hAnsi="Arial"/>
          <w:sz w:val="14"/>
          <w:szCs w:val="14"/>
          <w:color w:val="auto"/>
        </w:rPr>
      </w:pPr>
      <w:r>
        <w:rPr>
          <w:rFonts w:ascii="Arial" w:cs="Arial" w:eastAsia="Arial" w:hAnsi="Arial"/>
          <w:sz w:val="14"/>
          <w:szCs w:val="14"/>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32"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4"/>
          <w:szCs w:val="14"/>
          <w:color w:val="auto"/>
        </w:rPr>
        <w:t>Section 5.6.</w:t>
      </w:r>
      <w:r>
        <w:rPr>
          <w:sz w:val="20"/>
          <w:szCs w:val="20"/>
          <w:color w:val="auto"/>
        </w:rPr>
        <w:tab/>
      </w:r>
      <w:r>
        <w:rPr>
          <w:rFonts w:ascii="Arial" w:cs="Arial" w:eastAsia="Arial" w:hAnsi="Arial"/>
          <w:sz w:val="13"/>
          <w:szCs w:val="13"/>
          <w:u w:val="single" w:color="auto"/>
          <w:color w:val="auto"/>
        </w:rPr>
        <w:t>Advancement of Expenses to Officers and Non-Officer Employees Prior to Final Disposition</w:t>
      </w:r>
      <w:r>
        <w:rPr>
          <w:rFonts w:ascii="Arial" w:cs="Arial" w:eastAsia="Arial" w:hAnsi="Arial"/>
          <w:sz w:val="13"/>
          <w:szCs w:val="13"/>
          <w:color w:val="auto"/>
        </w:rPr>
        <w:t>.</w:t>
      </w:r>
    </w:p>
    <w:p>
      <w:pPr>
        <w:spacing w:after="0" w:line="182" w:lineRule="exact"/>
        <w:rPr>
          <w:sz w:val="20"/>
          <w:szCs w:val="20"/>
          <w:color w:val="auto"/>
        </w:rPr>
      </w:pPr>
    </w:p>
    <w:p>
      <w:pPr>
        <w:jc w:val="both"/>
        <w:ind w:firstLine="1548"/>
        <w:spacing w:after="0" w:line="287" w:lineRule="auto"/>
        <w:tabs>
          <w:tab w:leader="none" w:pos="200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34" w:lineRule="exact"/>
        <w:rPr>
          <w:rFonts w:ascii="Arial" w:cs="Arial" w:eastAsia="Arial" w:hAnsi="Arial"/>
          <w:sz w:val="13"/>
          <w:szCs w:val="13"/>
          <w:color w:val="auto"/>
        </w:rPr>
      </w:pPr>
    </w:p>
    <w:p>
      <w:pPr>
        <w:ind w:firstLine="1548"/>
        <w:spacing w:after="0" w:line="285" w:lineRule="auto"/>
        <w:tabs>
          <w:tab w:leader="none" w:pos="1976" w:val="left"/>
        </w:tabs>
        <w:numPr>
          <w:ilvl w:val="0"/>
          <w:numId w:val="211"/>
        </w:numPr>
        <w:rPr>
          <w:rFonts w:ascii="Arial" w:cs="Arial" w:eastAsia="Arial" w:hAnsi="Arial"/>
          <w:sz w:val="14"/>
          <w:szCs w:val="14"/>
          <w:color w:val="auto"/>
        </w:rPr>
      </w:pPr>
      <w:r>
        <w:rPr>
          <w:rFonts w:ascii="Arial" w:cs="Arial" w:eastAsia="Arial" w:hAnsi="Arial"/>
          <w:sz w:val="14"/>
          <w:szCs w:val="14"/>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2" w:lineRule="exact"/>
        <w:rPr>
          <w:sz w:val="20"/>
          <w:szCs w:val="20"/>
          <w:color w:val="auto"/>
        </w:rPr>
      </w:pPr>
    </w:p>
    <w:p>
      <w:pPr>
        <w:ind w:left="1040"/>
        <w:spacing w:after="0"/>
        <w:tabs>
          <w:tab w:leader="none" w:pos="1960" w:val="left"/>
        </w:tabs>
        <w:rPr>
          <w:sz w:val="20"/>
          <w:szCs w:val="20"/>
          <w:color w:val="auto"/>
        </w:rPr>
      </w:pPr>
      <w:r>
        <w:rPr>
          <w:rFonts w:ascii="Arial" w:cs="Arial" w:eastAsia="Arial" w:hAnsi="Arial"/>
          <w:sz w:val="14"/>
          <w:szCs w:val="14"/>
          <w:color w:val="auto"/>
        </w:rPr>
        <w:t>Section 5.7.</w:t>
      </w:r>
      <w:r>
        <w:rPr>
          <w:sz w:val="20"/>
          <w:szCs w:val="20"/>
          <w:color w:val="auto"/>
        </w:rPr>
        <w:tab/>
      </w:r>
      <w:r>
        <w:rPr>
          <w:rFonts w:ascii="Arial" w:cs="Arial" w:eastAsia="Arial" w:hAnsi="Arial"/>
          <w:sz w:val="13"/>
          <w:szCs w:val="13"/>
          <w:u w:val="single" w:color="auto"/>
          <w:color w:val="auto"/>
        </w:rPr>
        <w:t>Contractual Nature of Rights</w:t>
      </w:r>
      <w:r>
        <w:rPr>
          <w:rFonts w:ascii="Arial" w:cs="Arial" w:eastAsia="Arial" w:hAnsi="Arial"/>
          <w:sz w:val="13"/>
          <w:szCs w:val="13"/>
          <w:color w:val="auto"/>
        </w:rPr>
        <w:t>.</w:t>
      </w:r>
    </w:p>
    <w:p>
      <w:pPr>
        <w:spacing w:after="0" w:line="182" w:lineRule="exact"/>
        <w:rPr>
          <w:sz w:val="20"/>
          <w:szCs w:val="20"/>
          <w:color w:val="auto"/>
        </w:rPr>
      </w:pPr>
    </w:p>
    <w:p>
      <w:pPr>
        <w:jc w:val="both"/>
        <w:ind w:firstLine="1548"/>
        <w:spacing w:after="0" w:line="261" w:lineRule="auto"/>
        <w:tabs>
          <w:tab w:leader="none" w:pos="1968"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5" w:name="page356"/>
    <w:bookmarkEnd w:id="355"/>
    <w:p>
      <w:pPr>
        <w:jc w:val="both"/>
        <w:spacing w:after="0" w:line="270" w:lineRule="auto"/>
        <w:rPr>
          <w:sz w:val="20"/>
          <w:szCs w:val="20"/>
          <w:color w:val="auto"/>
        </w:rPr>
      </w:pPr>
      <w:r>
        <w:rPr>
          <w:rFonts w:ascii="Arial" w:cs="Arial" w:eastAsia="Arial" w:hAnsi="Arial"/>
          <w:sz w:val="14"/>
          <w:szCs w:val="14"/>
          <w:color w:val="auto"/>
        </w:rPr>
        <w:t>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42" w:lineRule="exact"/>
        <w:rPr>
          <w:sz w:val="20"/>
          <w:szCs w:val="20"/>
          <w:color w:val="auto"/>
        </w:rPr>
      </w:pPr>
    </w:p>
    <w:p>
      <w:pPr>
        <w:jc w:val="both"/>
        <w:ind w:firstLine="1548"/>
        <w:spacing w:after="0" w:line="261" w:lineRule="auto"/>
        <w:tabs>
          <w:tab w:leader="none" w:pos="1976" w:val="left"/>
        </w:tabs>
        <w:numPr>
          <w:ilvl w:val="0"/>
          <w:numId w:val="213"/>
        </w:numPr>
        <w:rPr>
          <w:rFonts w:ascii="Arial" w:cs="Arial" w:eastAsia="Arial" w:hAnsi="Arial"/>
          <w:sz w:val="14"/>
          <w:szCs w:val="14"/>
          <w:color w:val="auto"/>
        </w:rPr>
      </w:pPr>
      <w:r>
        <w:rPr>
          <w:rFonts w:ascii="Arial" w:cs="Arial" w:eastAsia="Arial" w:hAnsi="Arial"/>
          <w:sz w:val="14"/>
          <w:szCs w:val="14"/>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48" w:lineRule="exact"/>
        <w:rPr>
          <w:rFonts w:ascii="Arial" w:cs="Arial" w:eastAsia="Arial" w:hAnsi="Arial"/>
          <w:sz w:val="14"/>
          <w:szCs w:val="14"/>
          <w:color w:val="auto"/>
        </w:rPr>
      </w:pPr>
    </w:p>
    <w:p>
      <w:pPr>
        <w:ind w:firstLine="1548"/>
        <w:spacing w:after="0" w:line="285" w:lineRule="auto"/>
        <w:tabs>
          <w:tab w:leader="none" w:pos="1989" w:val="left"/>
        </w:tabs>
        <w:numPr>
          <w:ilvl w:val="0"/>
          <w:numId w:val="213"/>
        </w:numPr>
        <w:rPr>
          <w:rFonts w:ascii="Arial" w:cs="Arial" w:eastAsia="Arial" w:hAnsi="Arial"/>
          <w:sz w:val="14"/>
          <w:szCs w:val="14"/>
          <w:color w:val="auto"/>
        </w:rPr>
      </w:pPr>
      <w:r>
        <w:rPr>
          <w:rFonts w:ascii="Arial" w:cs="Arial" w:eastAsia="Arial" w:hAnsi="Arial"/>
          <w:sz w:val="14"/>
          <w:szCs w:val="14"/>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3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4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Insurance</w:t>
      </w:r>
      <w:r>
        <w:rPr>
          <w:rFonts w:ascii="Arial" w:cs="Arial" w:eastAsia="Arial" w:hAnsi="Arial"/>
          <w:sz w:val="14"/>
          <w:szCs w:val="14"/>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42" w:lineRule="exact"/>
        <w:rPr>
          <w:sz w:val="20"/>
          <w:szCs w:val="20"/>
          <w:color w:val="auto"/>
        </w:rPr>
      </w:pPr>
    </w:p>
    <w:p>
      <w:pPr>
        <w:jc w:val="both"/>
        <w:ind w:firstLine="1028"/>
        <w:spacing w:after="0" w:line="261"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Other Indemnification</w:t>
      </w:r>
      <w:r>
        <w:rPr>
          <w:rFonts w:ascii="Arial" w:cs="Arial" w:eastAsia="Arial" w:hAnsi="Arial"/>
          <w:sz w:val="14"/>
          <w:szCs w:val="14"/>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color w:val="auto"/>
        </w:rPr>
        <w:t>advancement of Expenses available from the applicable Primary Indemnitor(s) and any applicable insurance policies.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Miscellaneous Provisions</w:t>
      </w:r>
    </w:p>
    <w:p>
      <w:pPr>
        <w:spacing w:after="0" w:line="172"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4"/>
          <w:szCs w:val="14"/>
          <w:color w:val="auto"/>
        </w:rPr>
        <w:t>Section 6.1.</w:t>
      </w:r>
      <w:r>
        <w:rPr>
          <w:sz w:val="20"/>
          <w:szCs w:val="20"/>
          <w:color w:val="auto"/>
        </w:rPr>
        <w:tab/>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be determined by the Board of Directors.</w:t>
      </w:r>
    </w:p>
    <w:p>
      <w:pPr>
        <w:spacing w:after="0" w:line="182"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4"/>
          <w:szCs w:val="14"/>
          <w:color w:val="auto"/>
        </w:rPr>
        <w:t>Section 6.2.</w:t>
      </w:r>
      <w:r>
        <w:rPr>
          <w:sz w:val="20"/>
          <w:szCs w:val="20"/>
          <w:color w:val="auto"/>
        </w:rPr>
        <w:tab/>
      </w:r>
      <w:r>
        <w:rPr>
          <w:rFonts w:ascii="Arial" w:cs="Arial" w:eastAsia="Arial" w:hAnsi="Arial"/>
          <w:sz w:val="12"/>
          <w:szCs w:val="12"/>
          <w:u w:val="single" w:color="auto"/>
          <w:color w:val="auto"/>
        </w:rPr>
        <w:t>Seal</w:t>
      </w:r>
      <w:r>
        <w:rPr>
          <w:rFonts w:ascii="Arial" w:cs="Arial" w:eastAsia="Arial" w:hAnsi="Arial"/>
          <w:sz w:val="12"/>
          <w:szCs w:val="12"/>
          <w:color w:val="auto"/>
        </w:rPr>
        <w:t>. The Board of Directors shall have power to adopt and alter the seal of the Corporation.</w:t>
      </w:r>
    </w:p>
    <w:p>
      <w:pPr>
        <w:spacing w:after="0" w:line="18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Execution of Instruments</w:t>
      </w:r>
      <w:r>
        <w:rPr>
          <w:rFonts w:ascii="Arial" w:cs="Arial" w:eastAsia="Arial" w:hAnsi="Arial"/>
          <w:sz w:val="14"/>
          <w:szCs w:val="14"/>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a committee of the Board of Directors may authorize.</w:t>
      </w:r>
    </w:p>
    <w:p>
      <w:pPr>
        <w:spacing w:after="0" w:line="142"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Voting of Securities</w:t>
      </w:r>
      <w:r>
        <w:rPr>
          <w:rFonts w:ascii="Arial" w:cs="Arial" w:eastAsia="Arial" w:hAnsi="Arial"/>
          <w:sz w:val="13"/>
          <w:szCs w:val="13"/>
          <w:color w:val="auto"/>
        </w:rPr>
        <w:t>. Unless the Board of Directors otherwise provides, the Chairperson of the Board, if one is elected, the Chief Executive Officer,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5" w:lineRule="exact"/>
        <w:rPr>
          <w:sz w:val="20"/>
          <w:szCs w:val="20"/>
          <w:color w:val="auto"/>
        </w:rPr>
      </w:pPr>
    </w:p>
    <w:p>
      <w:pPr>
        <w:ind w:left="1040"/>
        <w:spacing w:after="0"/>
        <w:tabs>
          <w:tab w:leader="none" w:pos="1920" w:val="left"/>
        </w:tabs>
        <w:rPr>
          <w:sz w:val="20"/>
          <w:szCs w:val="20"/>
          <w:color w:val="auto"/>
        </w:rPr>
      </w:pPr>
      <w:r>
        <w:rPr>
          <w:rFonts w:ascii="Arial" w:cs="Arial" w:eastAsia="Arial" w:hAnsi="Arial"/>
          <w:sz w:val="14"/>
          <w:szCs w:val="14"/>
          <w:color w:val="auto"/>
        </w:rPr>
        <w:t>Section 6.5.</w:t>
      </w:r>
      <w:r>
        <w:rPr>
          <w:sz w:val="20"/>
          <w:szCs w:val="20"/>
          <w:color w:val="auto"/>
        </w:rPr>
        <w:tab/>
      </w:r>
      <w:r>
        <w:rPr>
          <w:rFonts w:ascii="Arial" w:cs="Arial" w:eastAsia="Arial" w:hAnsi="Arial"/>
          <w:sz w:val="12"/>
          <w:szCs w:val="12"/>
          <w:u w:val="single" w:color="auto"/>
          <w:color w:val="auto"/>
        </w:rPr>
        <w:t>Resident Agent</w:t>
      </w:r>
      <w:r>
        <w:rPr>
          <w:rFonts w:ascii="Arial" w:cs="Arial" w:eastAsia="Arial" w:hAnsi="Arial"/>
          <w:sz w:val="12"/>
          <w:szCs w:val="12"/>
          <w:color w:val="auto"/>
        </w:rPr>
        <w:t>. The Board of Directors may appoint a resident agent upon whom legal process may be served in any action or proceeding against the Corporation.</w:t>
      </w:r>
    </w:p>
    <w:p>
      <w:pPr>
        <w:spacing w:after="0" w:line="182" w:lineRule="exact"/>
        <w:rPr>
          <w:sz w:val="20"/>
          <w:szCs w:val="20"/>
          <w:color w:val="auto"/>
        </w:rPr>
      </w:pPr>
    </w:p>
    <w:p>
      <w:pPr>
        <w:jc w:val="both"/>
        <w:ind w:firstLine="1028"/>
        <w:spacing w:after="0" w:line="265" w:lineRule="auto"/>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Corporate Records</w:t>
      </w:r>
      <w:r>
        <w:rPr>
          <w:rFonts w:ascii="Arial" w:cs="Arial" w:eastAsia="Arial" w:hAnsi="Arial"/>
          <w:sz w:val="14"/>
          <w:szCs w:val="14"/>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46"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Certificate</w:t>
      </w:r>
      <w:r>
        <w:rPr>
          <w:rFonts w:ascii="Arial" w:cs="Arial" w:eastAsia="Arial" w:hAnsi="Arial"/>
          <w:sz w:val="14"/>
          <w:szCs w:val="14"/>
          <w:color w:val="auto"/>
        </w:rPr>
        <w:t>. All references in these Bylaws to the Certificate shall be deemed to refer to the Fourth Amended and Restated Certificate of Incorporation of the Corporation, as amended and/or restated and in effect from time to time.</w:t>
      </w:r>
    </w:p>
    <w:p>
      <w:pPr>
        <w:spacing w:after="0" w:line="132"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 xml:space="preserve">Section 6.8. </w:t>
      </w:r>
      <w:r>
        <w:rPr>
          <w:rFonts w:ascii="Arial" w:cs="Arial" w:eastAsia="Arial" w:hAnsi="Arial"/>
          <w:sz w:val="13"/>
          <w:szCs w:val="13"/>
          <w:u w:val="single" w:color="auto"/>
          <w:color w:val="auto"/>
        </w:rPr>
        <w:t>Exclusive Jurisdiction of Delaware Courts</w:t>
      </w:r>
      <w:r>
        <w:rPr>
          <w:rFonts w:ascii="Arial" w:cs="Arial" w:eastAsia="Arial" w:hAnsi="Arial"/>
          <w:sz w:val="13"/>
          <w:szCs w:val="13"/>
          <w:color w:val="auto"/>
        </w:rPr>
        <w:t>. Unless the Corporation consents in writing to the selection of an alternative forum, the Court of Chancery of the State of Delaware (or,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7" w:name="page358"/>
    <w:bookmarkEnd w:id="357"/>
    <w:p>
      <w:pPr>
        <w:jc w:val="both"/>
        <w:spacing w:after="0" w:line="280" w:lineRule="auto"/>
        <w:rPr>
          <w:sz w:val="20"/>
          <w:szCs w:val="20"/>
          <w:color w:val="auto"/>
        </w:rPr>
      </w:pPr>
      <w:r>
        <w:rPr>
          <w:rFonts w:ascii="Arial" w:cs="Arial" w:eastAsia="Arial" w:hAnsi="Arial"/>
          <w:sz w:val="13"/>
          <w:szCs w:val="13"/>
          <w:color w:val="auto"/>
        </w:rPr>
        <w:t>exclusive forum for (i) any derivative claim or cause of action brought on behalf of the Corporation; (ii) any claim or cause of action for breach of fiduciary duty owed by any current or former director, officer or other employee, agent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the Certificate or these Bylaws (as each may be amended from time to time); (iv) any claim or cause of action seeking to interpret, apply, enforce or determine the validity of the Certificate or these Bylaws (as each may be amended from time to time,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 affairs doctrine or otherwise related to the corporation’s internal affairs, in all cases to the fullest extent permitted by law and subject to the court having personal jurisdiction over the indispensable parties named as defendants. This Section 6.8 shall not apply to claims or causes of action brought to enforce a duty or liability created by the Securities Act of 1933, as amended (the “1933 Act”) Act or the Exchange Act or any other claim for which the federal courts have exclusive jurisdiction.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41" w:lineRule="exact"/>
        <w:rPr>
          <w:sz w:val="20"/>
          <w:szCs w:val="20"/>
          <w:color w:val="auto"/>
        </w:rPr>
      </w:pPr>
    </w:p>
    <w:p>
      <w:pPr>
        <w:ind w:left="1040"/>
        <w:spacing w:after="0"/>
        <w:tabs>
          <w:tab w:leader="none" w:pos="1960" w:val="left"/>
        </w:tabs>
        <w:rPr>
          <w:sz w:val="20"/>
          <w:szCs w:val="20"/>
          <w:color w:val="auto"/>
        </w:rPr>
      </w:pPr>
      <w:r>
        <w:rPr>
          <w:rFonts w:ascii="Arial" w:cs="Arial" w:eastAsia="Arial" w:hAnsi="Arial"/>
          <w:sz w:val="14"/>
          <w:szCs w:val="14"/>
          <w:color w:val="auto"/>
        </w:rPr>
        <w:t>Section 6.9.</w:t>
      </w:r>
      <w:r>
        <w:rPr>
          <w:sz w:val="20"/>
          <w:szCs w:val="20"/>
          <w:color w:val="auto"/>
        </w:rPr>
        <w:tab/>
      </w:r>
      <w:r>
        <w:rPr>
          <w:rFonts w:ascii="Arial" w:cs="Arial" w:eastAsia="Arial" w:hAnsi="Arial"/>
          <w:sz w:val="13"/>
          <w:szCs w:val="13"/>
          <w:u w:val="single" w:color="auto"/>
          <w:color w:val="auto"/>
        </w:rPr>
        <w:t>Amendment of Bylaws</w:t>
      </w:r>
      <w:r>
        <w:rPr>
          <w:rFonts w:ascii="Arial" w:cs="Arial" w:eastAsia="Arial" w:hAnsi="Arial"/>
          <w:sz w:val="13"/>
          <w:szCs w:val="13"/>
          <w:color w:val="auto"/>
        </w:rPr>
        <w:t>.</w:t>
      </w:r>
    </w:p>
    <w:p>
      <w:pPr>
        <w:spacing w:after="0" w:line="182" w:lineRule="exact"/>
        <w:rPr>
          <w:sz w:val="20"/>
          <w:szCs w:val="20"/>
          <w:color w:val="auto"/>
        </w:rPr>
      </w:pPr>
    </w:p>
    <w:p>
      <w:pPr>
        <w:ind w:firstLine="1548"/>
        <w:spacing w:after="0" w:line="285" w:lineRule="auto"/>
        <w:tabs>
          <w:tab w:leader="none" w:pos="1968" w:val="left"/>
        </w:tabs>
        <w:numPr>
          <w:ilvl w:val="0"/>
          <w:numId w:val="214"/>
        </w:numPr>
        <w:rPr>
          <w:rFonts w:ascii="Arial" w:cs="Arial" w:eastAsia="Arial" w:hAnsi="Arial"/>
          <w:sz w:val="14"/>
          <w:szCs w:val="14"/>
          <w:color w:val="auto"/>
        </w:rPr>
      </w:pPr>
      <w:r>
        <w:rPr>
          <w:rFonts w:ascii="Arial" w:cs="Arial" w:eastAsia="Arial" w:hAnsi="Arial"/>
          <w:sz w:val="14"/>
          <w:szCs w:val="14"/>
          <w:u w:val="single" w:color="auto"/>
          <w:color w:val="auto"/>
        </w:rPr>
        <w:t>Amendment by Directors</w:t>
      </w:r>
      <w:r>
        <w:rPr>
          <w:rFonts w:ascii="Arial" w:cs="Arial" w:eastAsia="Arial" w:hAnsi="Arial"/>
          <w:sz w:val="14"/>
          <w:szCs w:val="14"/>
          <w:color w:val="auto"/>
        </w:rPr>
        <w:t>. Except as provided otherwise by law, these Bylaws may be amended or repealed by the Board of Directors by the affirmative vote of a majority of the directors then in office.</w:t>
      </w:r>
    </w:p>
    <w:p>
      <w:pPr>
        <w:spacing w:after="0" w:line="131" w:lineRule="exact"/>
        <w:rPr>
          <w:rFonts w:ascii="Arial" w:cs="Arial" w:eastAsia="Arial" w:hAnsi="Arial"/>
          <w:sz w:val="14"/>
          <w:szCs w:val="14"/>
          <w:color w:val="auto"/>
        </w:rPr>
      </w:pPr>
    </w:p>
    <w:p>
      <w:pPr>
        <w:jc w:val="both"/>
        <w:ind w:firstLine="1548"/>
        <w:spacing w:after="0"/>
        <w:tabs>
          <w:tab w:leader="none" w:pos="1969" w:val="left"/>
        </w:tabs>
        <w:numPr>
          <w:ilvl w:val="0"/>
          <w:numId w:val="214"/>
        </w:numPr>
        <w:rPr>
          <w:rFonts w:ascii="Arial" w:cs="Arial" w:eastAsia="Arial" w:hAnsi="Arial"/>
          <w:sz w:val="14"/>
          <w:szCs w:val="14"/>
          <w:color w:val="auto"/>
        </w:rPr>
      </w:pPr>
      <w:r>
        <w:rPr>
          <w:rFonts w:ascii="Arial" w:cs="Arial" w:eastAsia="Arial" w:hAnsi="Arial"/>
          <w:sz w:val="14"/>
          <w:szCs w:val="14"/>
          <w:u w:val="single" w:color="auto"/>
          <w:color w:val="auto"/>
        </w:rPr>
        <w:t>Amendment by Stockholders</w:t>
      </w:r>
      <w:r>
        <w:rPr>
          <w:rFonts w:ascii="Arial" w:cs="Arial" w:eastAsia="Arial" w:hAnsi="Arial"/>
          <w:sz w:val="14"/>
          <w:szCs w:val="14"/>
          <w:color w:val="auto"/>
        </w:rPr>
        <w:t xml:space="preserve">. These Bylaws may be amended or repealed at any Annual Meeting, or special meeting of stockholders called for such purpose in accordance with these Bylaws, by the affirmative vote of at least sixty-six and two thirds percent (66 </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23"/>
          <w:szCs w:val="23"/>
          <w:color w:val="auto"/>
          <w:vertAlign w:val="subscript"/>
        </w:rPr>
        <w:t>3</w:t>
      </w:r>
      <w:r>
        <w:rPr>
          <w:rFonts w:ascii="Arial" w:cs="Arial" w:eastAsia="Arial" w:hAnsi="Arial"/>
          <w:sz w:val="14"/>
          <w:szCs w:val="14"/>
          <w:color w:val="auto"/>
        </w:rPr>
        <w:t>%)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6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6.10. </w:t>
      </w:r>
      <w:r>
        <w:rPr>
          <w:rFonts w:ascii="Arial" w:cs="Arial" w:eastAsia="Arial" w:hAnsi="Arial"/>
          <w:sz w:val="14"/>
          <w:szCs w:val="14"/>
          <w:u w:val="single" w:color="auto"/>
          <w:color w:val="auto"/>
        </w:rPr>
        <w:t>Notices</w:t>
      </w:r>
      <w:r>
        <w:rPr>
          <w:rFonts w:ascii="Arial" w:cs="Arial" w:eastAsia="Arial" w:hAnsi="Arial"/>
          <w:sz w:val="14"/>
          <w:szCs w:val="14"/>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42" w:lineRule="exact"/>
        <w:rPr>
          <w:sz w:val="20"/>
          <w:szCs w:val="20"/>
          <w:color w:val="auto"/>
        </w:rPr>
      </w:pPr>
    </w:p>
    <w:p>
      <w:pPr>
        <w:ind w:left="1040"/>
        <w:spacing w:after="0"/>
        <w:tabs>
          <w:tab w:leader="none" w:pos="1980" w:val="left"/>
        </w:tabs>
        <w:rPr>
          <w:sz w:val="20"/>
          <w:szCs w:val="20"/>
          <w:color w:val="auto"/>
        </w:rPr>
      </w:pPr>
      <w:r>
        <w:rPr>
          <w:rFonts w:ascii="Arial" w:cs="Arial" w:eastAsia="Arial" w:hAnsi="Arial"/>
          <w:sz w:val="14"/>
          <w:szCs w:val="14"/>
          <w:color w:val="auto"/>
        </w:rPr>
        <w:t>Section 6.11.</w:t>
      </w:r>
      <w:r>
        <w:rPr>
          <w:sz w:val="20"/>
          <w:szCs w:val="20"/>
          <w:color w:val="auto"/>
        </w:rPr>
        <w:tab/>
      </w:r>
      <w:r>
        <w:rPr>
          <w:rFonts w:ascii="Arial" w:cs="Arial" w:eastAsia="Arial" w:hAnsi="Arial"/>
          <w:sz w:val="13"/>
          <w:szCs w:val="13"/>
          <w:u w:val="single" w:color="auto"/>
          <w:color w:val="auto"/>
        </w:rPr>
        <w:t>Meeting Attendance via Remote Communication Equipment</w:t>
      </w:r>
      <w:r>
        <w:rPr>
          <w:rFonts w:ascii="Arial" w:cs="Arial" w:eastAsia="Arial" w:hAnsi="Arial"/>
          <w:sz w:val="13"/>
          <w:szCs w:val="13"/>
          <w:color w:val="auto"/>
        </w:rPr>
        <w:t>. If authorized by the Board of Directors in its sole discretion, and subject to such guidelines and</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8" w:name="page359"/>
    <w:bookmarkEnd w:id="358"/>
    <w:p>
      <w:pPr>
        <w:spacing w:after="0" w:line="285" w:lineRule="auto"/>
        <w:rPr>
          <w:sz w:val="20"/>
          <w:szCs w:val="20"/>
          <w:color w:val="auto"/>
        </w:rPr>
      </w:pPr>
      <w:r>
        <w:rPr>
          <w:rFonts w:ascii="Arial" w:cs="Arial" w:eastAsia="Arial" w:hAnsi="Arial"/>
          <w:sz w:val="14"/>
          <w:szCs w:val="14"/>
          <w:color w:val="auto"/>
        </w:rPr>
        <w:t>procedures as the Board may adopt, stockholders entitled to vote at an Annual Meeting or special meeting of stockholders and proxy holders not physically present at an Annual Meeting or special meeting of stockholders may, by means of remote communication:</w:t>
      </w:r>
    </w:p>
    <w:p>
      <w:pPr>
        <w:spacing w:after="0" w:line="132" w:lineRule="exact"/>
        <w:rPr>
          <w:sz w:val="20"/>
          <w:szCs w:val="20"/>
          <w:color w:val="auto"/>
        </w:rPr>
      </w:pPr>
    </w:p>
    <w:p>
      <w:pPr>
        <w:ind w:left="1980" w:hanging="432"/>
        <w:spacing w:after="0"/>
        <w:tabs>
          <w:tab w:leader="none" w:pos="198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participate in a meeting of stockholders; and</w:t>
      </w:r>
    </w:p>
    <w:p>
      <w:pPr>
        <w:spacing w:after="0" w:line="181" w:lineRule="exact"/>
        <w:rPr>
          <w:rFonts w:ascii="Arial" w:cs="Arial" w:eastAsia="Arial" w:hAnsi="Arial"/>
          <w:sz w:val="14"/>
          <w:szCs w:val="14"/>
          <w:color w:val="auto"/>
        </w:rPr>
      </w:pPr>
    </w:p>
    <w:p>
      <w:pPr>
        <w:jc w:val="both"/>
        <w:ind w:firstLine="1548"/>
        <w:spacing w:after="0" w:line="279" w:lineRule="auto"/>
        <w:tabs>
          <w:tab w:leader="none" w:pos="2008" w:val="left"/>
        </w:tabs>
        <w:numPr>
          <w:ilvl w:val="1"/>
          <w:numId w:val="215"/>
        </w:numPr>
        <w:rPr>
          <w:rFonts w:ascii="Arial" w:cs="Arial" w:eastAsia="Arial" w:hAnsi="Arial"/>
          <w:sz w:val="13"/>
          <w:szCs w:val="13"/>
          <w:color w:val="auto"/>
        </w:rPr>
      </w:pPr>
      <w:r>
        <w:rPr>
          <w:rFonts w:ascii="Arial" w:cs="Arial" w:eastAsia="Arial" w:hAnsi="Arial"/>
          <w:sz w:val="13"/>
          <w:szCs w:val="13"/>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w:t>
      </w:r>
    </w:p>
    <w:p>
      <w:pPr>
        <w:ind w:left="240" w:hanging="234"/>
        <w:spacing w:after="0"/>
        <w:tabs>
          <w:tab w:leader="none" w:pos="2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if any stockholder or proxy holder votes or takes other action at the meeting by means of remote communication, a record of such votes or other action shall be maintained by the Corporation.</w:t>
      </w:r>
    </w:p>
    <w:p>
      <w:pPr>
        <w:spacing w:after="0" w:line="183"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 xml:space="preserve">Section 6.12. </w:t>
      </w:r>
      <w:r>
        <w:rPr>
          <w:rFonts w:ascii="Arial" w:cs="Arial" w:eastAsia="Arial" w:hAnsi="Arial"/>
          <w:sz w:val="14"/>
          <w:szCs w:val="14"/>
          <w:u w:val="single" w:color="auto"/>
          <w:color w:val="auto"/>
        </w:rPr>
        <w:t>Waivers</w:t>
      </w:r>
      <w:r>
        <w:rPr>
          <w:rFonts w:ascii="Arial" w:cs="Arial" w:eastAsia="Arial" w:hAnsi="Arial"/>
          <w:sz w:val="14"/>
          <w:szCs w:val="14"/>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Adopted [ ______ ], 2021 and effective as of [ ______ ], 2021.</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59" w:name="page360"/>
    <w:bookmarkEnd w:id="359"/>
    <w:p>
      <w:pPr>
        <w:ind w:left="934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149860</wp:posOffset>
            </wp:positionV>
            <wp:extent cx="7160895" cy="39846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1">
                      <a:extLst>
                        <a:ext uri="{28A0092B-C50C-407E-A947-70E740481C1C}"/>
                      </a:extLst>
                    </a:blip>
                    <a:srcRect/>
                    <a:stretch>
                      <a:fillRect/>
                    </a:stretch>
                  </pic:blipFill>
                  <pic:spPr bwMode="auto">
                    <a:xfrm>
                      <a:off x="0" y="0"/>
                      <a:ext cx="7160895" cy="3984625"/>
                    </a:xfrm>
                    <a:prstGeom prst="rect">
                      <a:avLst/>
                    </a:prstGeom>
                    <a:noFill/>
                  </pic:spPr>
                </pic:pic>
              </a:graphicData>
            </a:graphic>
          </wp:anchor>
        </w:drawing>
      </w:r>
    </w:p>
    <w:p>
      <w:pPr>
        <w:sectPr>
          <w:pgSz w:w="11900" w:h="16838" w:orient="portrait"/>
          <w:cols w:equalWidth="0" w:num="1">
            <w:col w:w="10140"/>
          </w:cols>
          <w:pgMar w:left="1440" w:top="310" w:right="319" w:bottom="1440"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3836035</wp:posOffset>
            </wp:positionV>
            <wp:extent cx="716089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2">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496570</wp:posOffset>
            </wp:positionV>
            <wp:extent cx="5386070" cy="29787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3">
                      <a:clrChange>
                        <a:clrFrom>
                          <a:srgbClr val="FFFFFF"/>
                        </a:clrFrom>
                        <a:clrTo>
                          <a:srgbClr val="FFFFFF">
                            <a:alpha val="0"/>
                          </a:srgbClr>
                        </a:clrTo>
                      </a:clrChange>
                      <a:extLst>
                        <a:ext uri="{28A0092B-C50C-407E-A947-70E740481C1C}"/>
                      </a:extLst>
                    </a:blip>
                    <a:srcRect/>
                    <a:stretch>
                      <a:fillRect/>
                    </a:stretch>
                  </pic:blipFill>
                  <pic:spPr bwMode="auto">
                    <a:xfrm>
                      <a:off x="0" y="0"/>
                      <a:ext cx="5386070" cy="2978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jc w:val="right"/>
        <w:spacing w:after="0"/>
        <w:rPr>
          <w:sz w:val="20"/>
          <w:szCs w:val="20"/>
          <w:color w:val="auto"/>
        </w:rPr>
      </w:pPr>
      <w:r>
        <w:rPr>
          <w:rFonts w:ascii="Arial" w:cs="Arial" w:eastAsia="Arial" w:hAnsi="Arial"/>
          <w:sz w:val="14"/>
          <w:szCs w:val="14"/>
          <w:b w:val="1"/>
          <w:bCs w:val="1"/>
          <w:color w:val="auto"/>
        </w:rPr>
        <w:t>Exhibit 5.1</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-94615</wp:posOffset>
            </wp:positionV>
            <wp:extent cx="1292225" cy="5981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4">
                      <a:extLst>
                        <a:ext uri="{28A0092B-C50C-407E-A947-70E740481C1C}"/>
                      </a:extLst>
                    </a:blip>
                    <a:srcRect/>
                    <a:stretch>
                      <a:fillRect/>
                    </a:stretch>
                  </pic:blipFill>
                  <pic:spPr bwMode="auto">
                    <a:xfrm>
                      <a:off x="0" y="0"/>
                      <a:ext cx="1292225" cy="5981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3000 Two Logan Square, Eighteenth and Arch Streets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19103-2799</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troutman.com</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14, 2021</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3675 Market Street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Philadelphia, PA 19104</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Re: </w:t>
      </w:r>
      <w:r>
        <w:rPr>
          <w:rFonts w:ascii="Arial" w:cs="Arial" w:eastAsia="Arial" w:hAnsi="Arial"/>
          <w:sz w:val="14"/>
          <w:szCs w:val="14"/>
          <w:u w:val="single" w:color="auto"/>
          <w:color w:val="auto"/>
        </w:rPr>
        <w:t>Registration Statement No. 333-256648; 12,132,500 shares of Common Stock, par value $0.0001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2" w:lineRule="exact"/>
        <w:rPr>
          <w:sz w:val="20"/>
          <w:szCs w:val="20"/>
          <w:color w:val="auto"/>
        </w:rPr>
      </w:pPr>
    </w:p>
    <w:p>
      <w:pPr>
        <w:jc w:val="both"/>
        <w:ind w:firstLine="1028"/>
        <w:spacing w:after="0" w:line="285" w:lineRule="auto"/>
        <w:rPr>
          <w:sz w:val="20"/>
          <w:szCs w:val="20"/>
          <w:color w:val="auto"/>
        </w:rPr>
      </w:pPr>
      <w:r>
        <w:rPr>
          <w:rFonts w:ascii="Arial" w:cs="Arial" w:eastAsia="Arial" w:hAnsi="Arial"/>
          <w:sz w:val="13"/>
          <w:szCs w:val="13"/>
          <w:color w:val="auto"/>
        </w:rPr>
        <w:t>We have acted as special counsel to Century Therapeutics,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in connection with the proposed issuance of up to 12,132,500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of common stock, $0.0001 par value per share (the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The Shares are included in a registration statement on Form S-1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filed with the Securities and Exchange Commission (the “</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on June 14, 2021 (Registration No. 333-256648) (as amended,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34" w:lineRule="exact"/>
        <w:rPr>
          <w:sz w:val="20"/>
          <w:szCs w:val="20"/>
          <w:color w:val="auto"/>
        </w:rPr>
      </w:pPr>
    </w:p>
    <w:p>
      <w:pPr>
        <w:jc w:val="both"/>
        <w:ind w:firstLine="1028"/>
        <w:spacing w:after="0" w:line="262" w:lineRule="auto"/>
        <w:rPr>
          <w:sz w:val="20"/>
          <w:szCs w:val="20"/>
          <w:color w:val="auto"/>
        </w:rPr>
      </w:pPr>
      <w:r>
        <w:rPr>
          <w:rFonts w:ascii="Arial" w:cs="Arial" w:eastAsia="Arial" w:hAnsi="Arial"/>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We are opining herein as to General Corporation Law of the State of Delaware (the “</w:t>
      </w:r>
      <w:r>
        <w:rPr>
          <w:rFonts w:ascii="Arial" w:cs="Arial" w:eastAsia="Arial" w:hAnsi="Arial"/>
          <w:sz w:val="14"/>
          <w:szCs w:val="14"/>
          <w:b w:val="1"/>
          <w:bCs w:val="1"/>
          <w:i w:val="1"/>
          <w:iCs w:val="1"/>
          <w:color w:val="auto"/>
        </w:rPr>
        <w:t>Corporation Act</w:t>
      </w:r>
      <w:r>
        <w:rPr>
          <w:rFonts w:ascii="Arial" w:cs="Arial" w:eastAsia="Arial" w:hAnsi="Arial"/>
          <w:sz w:val="14"/>
          <w:szCs w:val="14"/>
          <w:color w:val="auto"/>
        </w:rPr>
        <w:t>”), and we express no opinion with respect to any other laws.</w:t>
      </w:r>
    </w:p>
    <w:p>
      <w:pPr>
        <w:spacing w:after="0" w:line="149" w:lineRule="exact"/>
        <w:rPr>
          <w:sz w:val="20"/>
          <w:szCs w:val="20"/>
          <w:color w:val="auto"/>
        </w:rPr>
      </w:pPr>
    </w:p>
    <w:p>
      <w:pPr>
        <w:jc w:val="both"/>
        <w:ind w:firstLine="1028"/>
        <w:spacing w:after="0" w:line="300" w:lineRule="auto"/>
        <w:rPr>
          <w:sz w:val="20"/>
          <w:szCs w:val="20"/>
          <w:color w:val="auto"/>
        </w:rPr>
      </w:pPr>
      <w:r>
        <w:rPr>
          <w:rFonts w:ascii="Arial" w:cs="Arial" w:eastAsia="Arial" w:hAnsi="Arial"/>
          <w:sz w:val="13"/>
          <w:szCs w:val="13"/>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317500</wp:posOffset>
            </wp:positionV>
            <wp:extent cx="716089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362" w:name="page363"/>
    <w:bookmarkEnd w:id="3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6042025</wp:posOffset>
            </wp:positionH>
            <wp:positionV relativeFrom="page">
              <wp:posOffset>483235</wp:posOffset>
            </wp:positionV>
            <wp:extent cx="1292225" cy="5981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1292225" cy="59817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June 14, 2021</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necessary corporate action of the Company, and the Shares will be validly issued, fully paid and nonassessable. In rendering the foregoing opinion, we have assumed that the Company will comply with all applicable notice requirements regarding uncertificated shares provided in the Corporation Act.</w:t>
      </w:r>
    </w:p>
    <w:p>
      <w:pPr>
        <w:spacing w:after="0" w:line="132" w:lineRule="exact"/>
        <w:rPr>
          <w:sz w:val="20"/>
          <w:szCs w:val="20"/>
          <w:color w:val="auto"/>
        </w:rPr>
      </w:pPr>
    </w:p>
    <w:p>
      <w:pPr>
        <w:jc w:val="both"/>
        <w:ind w:firstLine="1028"/>
        <w:spacing w:after="0" w:line="292" w:lineRule="auto"/>
        <w:rPr>
          <w:sz w:val="20"/>
          <w:szCs w:val="20"/>
          <w:color w:val="auto"/>
        </w:rPr>
      </w:pPr>
      <w:r>
        <w:rPr>
          <w:rFonts w:ascii="Arial" w:cs="Arial" w:eastAsia="Arial" w:hAnsi="Arial"/>
          <w:sz w:val="13"/>
          <w:szCs w:val="13"/>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Registration Statement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2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Very truly yours,</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Troutman Pepper Hamilton Sanders LLP</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Troutman Pepper Hamilton Sanders LLP</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6089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63" w:name="page364"/>
    <w:bookmarkEnd w:id="363"/>
    <w:p>
      <w:pPr>
        <w:jc w:val="right"/>
        <w:spacing w:after="0"/>
        <w:rPr>
          <w:sz w:val="20"/>
          <w:szCs w:val="20"/>
          <w:color w:val="auto"/>
        </w:rPr>
      </w:pPr>
      <w:r>
        <w:rPr>
          <w:rFonts w:ascii="Arial" w:cs="Arial" w:eastAsia="Arial" w:hAnsi="Arial"/>
          <w:sz w:val="14"/>
          <w:szCs w:val="14"/>
          <w:b w:val="1"/>
          <w:bCs w:val="1"/>
          <w:color w:val="auto"/>
        </w:rPr>
        <w:t>Exhibit 10.8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EQUITY INCENTIVE PLAN</w:t>
      </w:r>
    </w:p>
    <w:p>
      <w:pPr>
        <w:spacing w:after="0" w:line="182" w:lineRule="exact"/>
        <w:rPr>
          <w:sz w:val="20"/>
          <w:szCs w:val="20"/>
          <w:color w:val="auto"/>
        </w:rPr>
      </w:pPr>
    </w:p>
    <w:p>
      <w:pPr>
        <w:jc w:val="both"/>
        <w:ind w:right="340" w:firstLine="1028"/>
        <w:spacing w:after="0" w:line="303" w:lineRule="auto"/>
        <w:rPr>
          <w:sz w:val="20"/>
          <w:szCs w:val="20"/>
          <w:color w:val="auto"/>
        </w:rPr>
      </w:pPr>
      <w:r>
        <w:rPr>
          <w:rFonts w:ascii="Arial" w:cs="Arial" w:eastAsia="Arial" w:hAnsi="Arial"/>
          <w:sz w:val="13"/>
          <w:szCs w:val="13"/>
          <w:b w:val="1"/>
          <w:bCs w:val="1"/>
          <w:color w:val="auto"/>
        </w:rPr>
        <w:t xml:space="preserve">Section 1. </w:t>
      </w:r>
      <w:r>
        <w:rPr>
          <w:rFonts w:ascii="Arial" w:cs="Arial" w:eastAsia="Arial" w:hAnsi="Arial"/>
          <w:sz w:val="13"/>
          <w:szCs w:val="13"/>
          <w:b w:val="1"/>
          <w:bCs w:val="1"/>
          <w:u w:val="single" w:color="auto"/>
          <w:color w:val="auto"/>
        </w:rPr>
        <w:t>Purpose; 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purposes of the Century Therapeutics, Inc. 2021 Equity Incentive Plan (as amended from time to time, the “</w:t>
      </w:r>
      <w:r>
        <w:rPr>
          <w:rFonts w:ascii="Arial" w:cs="Arial" w:eastAsia="Arial" w:hAnsi="Arial"/>
          <w:sz w:val="13"/>
          <w:szCs w:val="13"/>
          <w:u w:val="single" w:color="auto"/>
          <w:color w:val="auto"/>
        </w:rPr>
        <w:t>Plan</w:t>
      </w:r>
      <w:r>
        <w:rPr>
          <w:rFonts w:ascii="Arial" w:cs="Arial" w:eastAsia="Arial" w:hAnsi="Arial"/>
          <w:sz w:val="13"/>
          <w:szCs w:val="13"/>
          <w:color w:val="auto"/>
        </w:rPr>
        <w:t>”) are to: (a) enable</w:t>
      </w:r>
      <w:r>
        <w:rPr>
          <w:rFonts w:ascii="Arial" w:cs="Arial" w:eastAsia="Arial" w:hAnsi="Arial"/>
          <w:sz w:val="13"/>
          <w:szCs w:val="13"/>
          <w:b w:val="1"/>
          <w:bCs w:val="1"/>
          <w:color w:val="auto"/>
        </w:rPr>
        <w:t xml:space="preserve"> </w:t>
      </w:r>
      <w:r>
        <w:rPr>
          <w:rFonts w:ascii="Arial" w:cs="Arial" w:eastAsia="Arial" w:hAnsi="Arial"/>
          <w:sz w:val="13"/>
          <w:szCs w:val="13"/>
          <w:color w:val="auto"/>
        </w:rPr>
        <w:t>Century Therapeutics, Inc. (the “</w:t>
      </w:r>
      <w:r>
        <w:rPr>
          <w:rFonts w:ascii="Arial" w:cs="Arial" w:eastAsia="Arial" w:hAnsi="Arial"/>
          <w:sz w:val="13"/>
          <w:szCs w:val="13"/>
          <w:u w:val="single" w:color="auto"/>
          <w:color w:val="auto"/>
        </w:rPr>
        <w:t>Company</w:t>
      </w:r>
      <w:r>
        <w:rPr>
          <w:rFonts w:ascii="Arial" w:cs="Arial" w:eastAsia="Arial" w:hAnsi="Arial"/>
          <w:sz w:val="13"/>
          <w:szCs w:val="13"/>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For purposes of the Plan, the following terms will have the meanings defined below, unless the context clearly requires a different meaning:</w:t>
      </w:r>
    </w:p>
    <w:p>
      <w:pPr>
        <w:spacing w:after="0" w:line="182" w:lineRule="exact"/>
        <w:rPr>
          <w:sz w:val="20"/>
          <w:szCs w:val="20"/>
          <w:color w:val="auto"/>
        </w:rPr>
      </w:pPr>
    </w:p>
    <w:p>
      <w:pPr>
        <w:ind w:left="1620" w:hanging="586"/>
        <w:spacing w:after="0"/>
        <w:tabs>
          <w:tab w:leader="none" w:pos="162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 Person, a Person that directly or indirectly controls, is controlled by, or is under common control with such Person.</w:t>
      </w:r>
    </w:p>
    <w:p>
      <w:pPr>
        <w:spacing w:after="0" w:line="181" w:lineRule="exact"/>
        <w:rPr>
          <w:rFonts w:ascii="Arial" w:cs="Arial" w:eastAsia="Arial" w:hAnsi="Arial"/>
          <w:sz w:val="14"/>
          <w:szCs w:val="14"/>
          <w:color w:val="auto"/>
        </w:rPr>
      </w:pPr>
    </w:p>
    <w:p>
      <w:pPr>
        <w:ind w:right="20" w:firstLine="1034"/>
        <w:spacing w:after="0" w:line="270" w:lineRule="auto"/>
        <w:tabs>
          <w:tab w:leader="none" w:pos="1623" w:val="left"/>
        </w:tabs>
        <w:numPr>
          <w:ilvl w:val="1"/>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42" w:lineRule="exact"/>
        <w:rPr>
          <w:rFonts w:ascii="Arial" w:cs="Arial" w:eastAsia="Arial" w:hAnsi="Arial"/>
          <w:sz w:val="14"/>
          <w:szCs w:val="14"/>
          <w:color w:val="auto"/>
        </w:rPr>
      </w:pPr>
    </w:p>
    <w:p>
      <w:pPr>
        <w:ind w:left="1620" w:hanging="586"/>
        <w:spacing w:after="0"/>
        <w:tabs>
          <w:tab w:leader="none" w:pos="1620" w:val="left"/>
        </w:tabs>
        <w:numPr>
          <w:ilvl w:val="1"/>
          <w:numId w:val="2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w:t>
      </w:r>
      <w:r>
        <w:rPr>
          <w:rFonts w:ascii="Arial" w:cs="Arial" w:eastAsia="Arial" w:hAnsi="Arial"/>
          <w:sz w:val="13"/>
          <w:szCs w:val="13"/>
          <w:color w:val="auto"/>
        </w:rPr>
        <w:t>” means an award of Options, Stock Appreciation Rights, Restricted Stock, Restricted Stock Units or Cash or Other Stock Based Awards made under this Plan.</w:t>
      </w:r>
    </w:p>
    <w:p>
      <w:pPr>
        <w:spacing w:after="0" w:line="193" w:lineRule="exact"/>
        <w:rPr>
          <w:rFonts w:ascii="Arial" w:cs="Arial" w:eastAsia="Arial" w:hAnsi="Arial"/>
          <w:sz w:val="13"/>
          <w:szCs w:val="13"/>
          <w:color w:val="auto"/>
        </w:rPr>
      </w:pPr>
    </w:p>
    <w:p>
      <w:pPr>
        <w:ind w:left="1620" w:hanging="586"/>
        <w:spacing w:after="0"/>
        <w:tabs>
          <w:tab w:leader="none" w:pos="162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Award Agreement</w:t>
      </w:r>
      <w:r>
        <w:rPr>
          <w:rFonts w:ascii="Arial" w:cs="Arial" w:eastAsia="Arial" w:hAnsi="Arial"/>
          <w:sz w:val="14"/>
          <w:szCs w:val="14"/>
          <w:color w:val="auto"/>
        </w:rPr>
        <w:t>” means, with respect to any particular Award, the written document that sets forth the terms of that particular Award.</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 as constituted from time to time.</w:t>
      </w:r>
    </w:p>
    <w:p>
      <w:pPr>
        <w:spacing w:after="0" w:line="181" w:lineRule="exact"/>
        <w:rPr>
          <w:rFonts w:ascii="Arial" w:cs="Arial" w:eastAsia="Arial" w:hAnsi="Arial"/>
          <w:sz w:val="14"/>
          <w:szCs w:val="14"/>
          <w:color w:val="auto"/>
        </w:rPr>
      </w:pPr>
    </w:p>
    <w:p>
      <w:pPr>
        <w:ind w:left="1600" w:hanging="566"/>
        <w:spacing w:after="0"/>
        <w:tabs>
          <w:tab w:leader="none" w:pos="160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or Other Stock Based Award</w:t>
      </w:r>
      <w:r>
        <w:rPr>
          <w:rFonts w:ascii="Arial" w:cs="Arial" w:eastAsia="Arial" w:hAnsi="Arial"/>
          <w:sz w:val="14"/>
          <w:szCs w:val="14"/>
          <w:color w:val="auto"/>
        </w:rPr>
        <w:t xml:space="preserve">” means an award that is granted under </w:t>
      </w:r>
      <w:r>
        <w:rPr>
          <w:rFonts w:ascii="Arial" w:cs="Arial" w:eastAsia="Arial" w:hAnsi="Arial"/>
          <w:sz w:val="14"/>
          <w:szCs w:val="14"/>
          <w:u w:val="single" w:color="auto"/>
          <w:color w:val="auto"/>
        </w:rPr>
        <w:t>Section 10</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1"/>
          <w:numId w:val="21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means (i) the Participant’s refusal to comply with any lawful directive or policy of the Company which refusal is not cured by the Participant within ten</w:t>
      </w:r>
    </w:p>
    <w:p>
      <w:pPr>
        <w:spacing w:after="0" w:line="31" w:lineRule="exact"/>
        <w:rPr>
          <w:rFonts w:ascii="Arial" w:cs="Arial" w:eastAsia="Arial" w:hAnsi="Arial"/>
          <w:sz w:val="13"/>
          <w:szCs w:val="13"/>
          <w:color w:val="auto"/>
        </w:rPr>
      </w:pPr>
    </w:p>
    <w:p>
      <w:pPr>
        <w:ind w:right="40" w:firstLine="6"/>
        <w:spacing w:after="0" w:line="260" w:lineRule="auto"/>
        <w:tabs>
          <w:tab w:leader="none" w:pos="274" w:val="left"/>
        </w:tabs>
        <w:numPr>
          <w:ilvl w:val="0"/>
          <w:numId w:val="218"/>
        </w:numPr>
        <w:rPr>
          <w:rFonts w:ascii="Arial" w:cs="Arial" w:eastAsia="Arial" w:hAnsi="Arial"/>
          <w:sz w:val="14"/>
          <w:szCs w:val="14"/>
          <w:color w:val="auto"/>
        </w:rPr>
      </w:pPr>
      <w:r>
        <w:rPr>
          <w:rFonts w:ascii="Arial" w:cs="Arial" w:eastAsia="Arial" w:hAnsi="Arial"/>
          <w:sz w:val="14"/>
          <w:szCs w:val="14"/>
          <w:color w:val="auto"/>
        </w:rPr>
        <w:t>days of such written notice from the Company; (ii) the Company’s determination that the Participant has committed any act of dishonesty, embezzlement, unauthorized use or disclosure of confidential information or other intellectual property or trade secrets, common law fraud or other fraud against the Company or any Subsidiary or Affiliate; (iii) a material breach by the Participant of any written agreement with or any fiduciary duty owed to any Company or any Subsidiary or Affiliate; (iv) the Participant’s conviction (or the entry of a plea of a nolo contendere or equivalent plea) of a felony or any misdemeanor involving material dishonesty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716089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4" w:name="page365"/>
    <w:bookmarkEnd w:id="364"/>
    <w:p>
      <w:pPr>
        <w:ind w:right="20"/>
        <w:spacing w:after="0" w:line="335" w:lineRule="auto"/>
        <w:rPr>
          <w:sz w:val="20"/>
          <w:szCs w:val="20"/>
          <w:color w:val="auto"/>
        </w:rPr>
      </w:pPr>
      <w:r>
        <w:rPr>
          <w:rFonts w:ascii="Arial" w:cs="Arial" w:eastAsia="Arial" w:hAnsi="Arial"/>
          <w:sz w:val="12"/>
          <w:szCs w:val="12"/>
          <w:color w:val="auto"/>
        </w:rPr>
        <w:t>moral turpitude; or (v) the Participant’s habitual or repeated misuse of, or habitual or repeated performance of Participant’s duties under the influence of, alcohol, illegally obtained prescription controlled substances or non-prescription controlled substances.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108" w:lineRule="exact"/>
        <w:rPr>
          <w:sz w:val="20"/>
          <w:szCs w:val="20"/>
          <w:color w:val="auto"/>
        </w:rPr>
      </w:pPr>
    </w:p>
    <w:p>
      <w:pPr>
        <w:ind w:right="20" w:firstLine="1034"/>
        <w:spacing w:after="0" w:line="276" w:lineRule="auto"/>
        <w:tabs>
          <w:tab w:leader="none" w:pos="1623" w:val="left"/>
        </w:tabs>
        <w:numPr>
          <w:ilvl w:val="1"/>
          <w:numId w:val="21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xml:space="preserve">” shall mean the occurrence of any of the following events: (i) any “person” (as such term is used in Sections 13(d) and 14(d) of the Exchange Act) is or becomes a “beneficial owner” (as defined in Rule 13d-3 under the Exchange Act), directly or indirectly, of securities of the Company representing 50% or more of the total power to vote for the election of directors of the Company; (ii) 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3"/>
          <w:szCs w:val="13"/>
          <w:u w:val="single" w:color="auto"/>
          <w:color w:val="auto"/>
        </w:rPr>
        <w:t>Section 1(h)(i)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1(h)(iii)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1(h)(iv)</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1(h)(v)</w:t>
      </w:r>
      <w:r>
        <w:rPr>
          <w:rFonts w:ascii="Arial" w:cs="Arial" w:eastAsia="Arial" w:hAnsi="Arial"/>
          <w:sz w:val="13"/>
          <w:szCs w:val="13"/>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(iii) the merger or consolidation of the Company with another corporation where the stockholders of the Company, immediately prior to the merger or consolidation, will not beneficially own, immediately after the merger or consolidation, shares entitling such stockholders to 50% or more of all votes to which all stockholders of the surviving corporation would be entitled in the election of directors (without consideration of the rights of any class of stock to elect directors by a separate class vote); (iv) the sale or other disposition of all or substantially all of the assets of the Company; (v) a liquidation or dissolution of the Company; or</w:t>
      </w:r>
    </w:p>
    <w:p>
      <w:pPr>
        <w:spacing w:after="0" w:line="4" w:lineRule="exact"/>
        <w:rPr>
          <w:rFonts w:ascii="Arial" w:cs="Arial" w:eastAsia="Arial" w:hAnsi="Arial"/>
          <w:sz w:val="13"/>
          <w:szCs w:val="13"/>
          <w:color w:val="auto"/>
        </w:rPr>
      </w:pPr>
    </w:p>
    <w:p>
      <w:pPr>
        <w:ind w:left="240" w:hanging="234"/>
        <w:spacing w:after="0"/>
        <w:tabs>
          <w:tab w:leader="none" w:pos="24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such other event deemed to constitute a “Change in Control” by the Board.</w:t>
      </w:r>
    </w:p>
    <w:p>
      <w:pPr>
        <w:spacing w:after="0" w:line="172" w:lineRule="exact"/>
        <w:rPr>
          <w:sz w:val="20"/>
          <w:szCs w:val="20"/>
          <w:color w:val="auto"/>
        </w:rPr>
      </w:pPr>
    </w:p>
    <w:p>
      <w:pPr>
        <w:ind w:firstLine="1028"/>
        <w:spacing w:after="0" w:line="270" w:lineRule="auto"/>
        <w:rPr>
          <w:sz w:val="20"/>
          <w:szCs w:val="20"/>
          <w:color w:val="auto"/>
        </w:rPr>
      </w:pPr>
      <w:r>
        <w:rPr>
          <w:rFonts w:ascii="Arial" w:cs="Arial" w:eastAsia="Arial" w:hAnsi="Arial"/>
          <w:sz w:val="14"/>
          <w:szCs w:val="14"/>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142" w:lineRule="exact"/>
        <w:rPr>
          <w:sz w:val="20"/>
          <w:szCs w:val="20"/>
          <w:color w:val="auto"/>
        </w:rPr>
      </w:pPr>
    </w:p>
    <w:p>
      <w:pPr>
        <w:ind w:left="1600" w:hanging="566"/>
        <w:spacing w:after="0"/>
        <w:tabs>
          <w:tab w:leader="none" w:pos="160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 from time to time, and any successor thereto.</w:t>
      </w:r>
    </w:p>
    <w:p>
      <w:pPr>
        <w:spacing w:after="0" w:line="181" w:lineRule="exact"/>
        <w:rPr>
          <w:rFonts w:ascii="Arial" w:cs="Arial" w:eastAsia="Arial" w:hAnsi="Arial"/>
          <w:sz w:val="14"/>
          <w:szCs w:val="14"/>
          <w:color w:val="auto"/>
        </w:rPr>
      </w:pPr>
    </w:p>
    <w:p>
      <w:pPr>
        <w:ind w:right="200" w:firstLine="1034"/>
        <w:spacing w:after="0" w:line="285" w:lineRule="auto"/>
        <w:tabs>
          <w:tab w:leader="none" w:pos="1591"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Committee</w:t>
      </w:r>
      <w:r>
        <w:rPr>
          <w:rFonts w:ascii="Arial" w:cs="Arial" w:eastAsia="Arial" w:hAnsi="Arial"/>
          <w:sz w:val="14"/>
          <w:szCs w:val="14"/>
          <w:color w:val="auto"/>
        </w:rPr>
        <w:t xml:space="preserve">” means the committee designated by the Board to administer the Plan under </w:t>
      </w:r>
      <w:r>
        <w:rPr>
          <w:rFonts w:ascii="Arial" w:cs="Arial" w:eastAsia="Arial" w:hAnsi="Arial"/>
          <w:sz w:val="14"/>
          <w:szCs w:val="14"/>
          <w:u w:val="single" w:color="auto"/>
          <w:color w:val="auto"/>
        </w:rPr>
        <w:t>Section 2</w:t>
      </w:r>
      <w:r>
        <w:rPr>
          <w:rFonts w:ascii="Arial" w:cs="Arial" w:eastAsia="Arial" w:hAnsi="Arial"/>
          <w:sz w:val="14"/>
          <w:szCs w:val="14"/>
          <w:color w:val="auto"/>
        </w:rPr>
        <w:t>. To the extent required under Applicable Law, the Committee shall have at least two members and each member of the Committee shall be a Non-Employee Director.</w:t>
      </w:r>
    </w:p>
    <w:p>
      <w:pPr>
        <w:spacing w:after="0" w:line="131" w:lineRule="exact"/>
        <w:rPr>
          <w:rFonts w:ascii="Arial" w:cs="Arial" w:eastAsia="Arial" w:hAnsi="Arial"/>
          <w:sz w:val="14"/>
          <w:szCs w:val="14"/>
          <w:color w:val="auto"/>
        </w:rPr>
      </w:pPr>
    </w:p>
    <w:p>
      <w:pPr>
        <w:ind w:left="1620" w:hanging="586"/>
        <w:spacing w:after="0"/>
        <w:tabs>
          <w:tab w:leader="none" w:pos="16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Director</w:t>
      </w:r>
      <w:r>
        <w:rPr>
          <w:rFonts w:ascii="Arial" w:cs="Arial" w:eastAsia="Arial" w:hAnsi="Arial"/>
          <w:sz w:val="14"/>
          <w:szCs w:val="14"/>
          <w:color w:val="auto"/>
        </w:rPr>
        <w:t>” means a member of the Board.</w:t>
      </w:r>
    </w:p>
    <w:p>
      <w:pPr>
        <w:spacing w:after="0" w:line="181" w:lineRule="exact"/>
        <w:rPr>
          <w:rFonts w:ascii="Arial" w:cs="Arial" w:eastAsia="Arial" w:hAnsi="Arial"/>
          <w:sz w:val="14"/>
          <w:szCs w:val="14"/>
          <w:color w:val="auto"/>
        </w:rPr>
      </w:pPr>
    </w:p>
    <w:p>
      <w:pPr>
        <w:ind w:left="1600" w:hanging="566"/>
        <w:spacing w:after="0"/>
        <w:tabs>
          <w:tab w:leader="none" w:pos="160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means a condition rendering a Participant Disabled.</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65" w:name="page366"/>
    <w:bookmarkEnd w:id="365"/>
    <w:p>
      <w:pPr>
        <w:ind w:left="1660" w:hanging="626"/>
        <w:spacing w:after="0"/>
        <w:tabs>
          <w:tab w:leader="none" w:pos="166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Disabled</w:t>
      </w:r>
      <w:r>
        <w:rPr>
          <w:rFonts w:ascii="Arial" w:cs="Arial" w:eastAsia="Arial" w:hAnsi="Arial"/>
          <w:sz w:val="14"/>
          <w:szCs w:val="14"/>
          <w:color w:val="auto"/>
        </w:rPr>
        <w:t>” will have the same meaning as set forth in Section 22(e)(3) of the Code.</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Time</w:t>
      </w:r>
      <w:r>
        <w:rPr>
          <w:rFonts w:ascii="Arial" w:cs="Arial" w:eastAsia="Arial" w:hAnsi="Arial"/>
          <w:sz w:val="14"/>
          <w:szCs w:val="14"/>
          <w:color w:val="auto"/>
        </w:rPr>
        <w:t xml:space="preserve">” has the meaning defined below in </w:t>
      </w:r>
      <w:r>
        <w:rPr>
          <w:rFonts w:ascii="Arial" w:cs="Arial" w:eastAsia="Arial" w:hAnsi="Arial"/>
          <w:sz w:val="14"/>
          <w:szCs w:val="14"/>
          <w:u w:val="single" w:color="auto"/>
          <w:color w:val="auto"/>
        </w:rPr>
        <w:t>Section 18</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w:t>
      </w:r>
    </w:p>
    <w:p>
      <w:pPr>
        <w:spacing w:after="0" w:line="181" w:lineRule="exact"/>
        <w:rPr>
          <w:rFonts w:ascii="Arial" w:cs="Arial" w:eastAsia="Arial" w:hAnsi="Arial"/>
          <w:sz w:val="14"/>
          <w:szCs w:val="14"/>
          <w:color w:val="auto"/>
        </w:rPr>
      </w:pPr>
    </w:p>
    <w:p>
      <w:pPr>
        <w:ind w:firstLine="1034"/>
        <w:spacing w:after="0" w:line="259" w:lineRule="auto"/>
        <w:tabs>
          <w:tab w:leader="none" w:pos="1623"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Fair Market Value</w:t>
      </w:r>
      <w:r>
        <w:rPr>
          <w:rFonts w:ascii="Arial" w:cs="Arial" w:eastAsia="Arial" w:hAnsi="Arial"/>
          <w:sz w:val="14"/>
          <w:szCs w:val="14"/>
          <w:color w:val="auto"/>
        </w:rPr>
        <w:t>” means, as of any date, the value of a Share determined as follows: (i) if the Shares are listed on any established stock exchange or a national market system, including, without limitation, the Nasdaq Global Market, the Fair Market Value of a Share will be the closing sales price for such stock as quoted on that system or exchange (or the system or exchange with the greatest volume of trading in Shares) at the close of regular hours trading on the day of determination; (ii) if the Shares are regularly quoted by recognized securities dealers but selling prices are not reported, the Fair Market Value of a Share will be the mean between the high bid and low asked prices for Shares at the close of regular hours trading on the day of determination;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(1) with respect to any Award that is effective upon the execution of an underwriting agreement with respect to the Company’s initial public offering of Shares, the Fair Market Value shall mean the initial public offering price of a Share as set forth in that underwriting agreement or (2) in connection with a Change in Control, Fair Market Value shall be determined in good faith by the Committee, such determination by the Committee to be final conclusive and binding.</w:t>
      </w:r>
    </w:p>
    <w:p>
      <w:pPr>
        <w:spacing w:after="0" w:line="149" w:lineRule="exact"/>
        <w:rPr>
          <w:rFonts w:ascii="Arial" w:cs="Arial" w:eastAsia="Arial" w:hAnsi="Arial"/>
          <w:sz w:val="14"/>
          <w:szCs w:val="14"/>
          <w:color w:val="auto"/>
        </w:rPr>
      </w:pPr>
    </w:p>
    <w:p>
      <w:pPr>
        <w:ind w:left="1620" w:hanging="586"/>
        <w:spacing w:after="0"/>
        <w:tabs>
          <w:tab w:leader="none" w:pos="16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Incentive Stock Option</w:t>
      </w:r>
      <w:r>
        <w:rPr>
          <w:rFonts w:ascii="Arial" w:cs="Arial" w:eastAsia="Arial" w:hAnsi="Arial"/>
          <w:sz w:val="14"/>
          <w:szCs w:val="14"/>
          <w:color w:val="auto"/>
        </w:rPr>
        <w:t>” means any Option intended to be an “Incentive Stock Option” within the meaning of Section 422 of the Code.</w:t>
      </w:r>
    </w:p>
    <w:p>
      <w:pPr>
        <w:spacing w:after="0" w:line="181" w:lineRule="exact"/>
        <w:rPr>
          <w:rFonts w:ascii="Arial" w:cs="Arial" w:eastAsia="Arial" w:hAnsi="Arial"/>
          <w:sz w:val="14"/>
          <w:szCs w:val="14"/>
          <w:color w:val="auto"/>
        </w:rPr>
      </w:pPr>
    </w:p>
    <w:p>
      <w:pPr>
        <w:ind w:right="120" w:firstLine="1034"/>
        <w:spacing w:after="0" w:line="285" w:lineRule="auto"/>
        <w:tabs>
          <w:tab w:leader="none" w:pos="1599"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Non-Employee Director</w:t>
      </w:r>
      <w:r>
        <w:rPr>
          <w:rFonts w:ascii="Arial" w:cs="Arial" w:eastAsia="Arial" w:hAnsi="Arial"/>
          <w:sz w:val="14"/>
          <w:szCs w:val="14"/>
          <w:color w:val="auto"/>
        </w:rPr>
        <w:t>” will have the meaning set forth in Rule 16b-3(b)(3)(i) promulgated by the Securities and Exchange Commission under the Exchange Act, or any successor definition adopted by the Securities and Exchange Commission.</w:t>
      </w:r>
    </w:p>
    <w:p>
      <w:pPr>
        <w:spacing w:after="0" w:line="131" w:lineRule="exact"/>
        <w:rPr>
          <w:rFonts w:ascii="Arial" w:cs="Arial" w:eastAsia="Arial" w:hAnsi="Arial"/>
          <w:sz w:val="14"/>
          <w:szCs w:val="14"/>
          <w:color w:val="auto"/>
        </w:rPr>
      </w:pPr>
    </w:p>
    <w:p>
      <w:pPr>
        <w:ind w:left="1620" w:hanging="586"/>
        <w:spacing w:after="0"/>
        <w:tabs>
          <w:tab w:leader="none" w:pos="16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Non-Qualified Stock Option</w:t>
      </w:r>
      <w:r>
        <w:rPr>
          <w:rFonts w:ascii="Arial" w:cs="Arial" w:eastAsia="Arial" w:hAnsi="Arial"/>
          <w:sz w:val="14"/>
          <w:szCs w:val="14"/>
          <w:color w:val="auto"/>
        </w:rPr>
        <w:t>” means any Option that is not an Incentive Stock Option.</w:t>
      </w:r>
    </w:p>
    <w:p>
      <w:pPr>
        <w:spacing w:after="0" w:line="181" w:lineRule="exact"/>
        <w:rPr>
          <w:rFonts w:ascii="Arial" w:cs="Arial" w:eastAsia="Arial" w:hAnsi="Arial"/>
          <w:sz w:val="14"/>
          <w:szCs w:val="14"/>
          <w:color w:val="auto"/>
        </w:rPr>
      </w:pPr>
    </w:p>
    <w:p>
      <w:pPr>
        <w:ind w:left="1600" w:hanging="566"/>
        <w:spacing w:after="0"/>
        <w:tabs>
          <w:tab w:leader="none" w:pos="160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xml:space="preserve">” means any option to purchase Shares (including an option to purchase Restricted Stock, if the Committee so determines) granted pursuant to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hereof.</w:t>
      </w:r>
    </w:p>
    <w:p>
      <w:pPr>
        <w:spacing w:after="0" w:line="193" w:lineRule="exact"/>
        <w:rPr>
          <w:rFonts w:ascii="Arial" w:cs="Arial" w:eastAsia="Arial" w:hAnsi="Arial"/>
          <w:sz w:val="13"/>
          <w:szCs w:val="13"/>
          <w:color w:val="auto"/>
        </w:rPr>
      </w:pPr>
    </w:p>
    <w:p>
      <w:pPr>
        <w:ind w:left="1620" w:hanging="586"/>
        <w:spacing w:after="0"/>
        <w:tabs>
          <w:tab w:leader="none" w:pos="16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w:t>
      </w:r>
      <w:r>
        <w:rPr>
          <w:rFonts w:ascii="Arial" w:cs="Arial" w:eastAsia="Arial" w:hAnsi="Arial"/>
          <w:sz w:val="14"/>
          <w:szCs w:val="14"/>
          <w:color w:val="auto"/>
        </w:rPr>
        <w:t>” means, in respect of the Company, a “parent corporation” as defined in Section 424(e) of the Code.</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an employee, consultant, Director, or other service provider of or to the Company or any of its respective Affiliates to whom an Award is granted.</w:t>
      </w:r>
    </w:p>
    <w:p>
      <w:pPr>
        <w:spacing w:after="0" w:line="193" w:lineRule="exact"/>
        <w:rPr>
          <w:rFonts w:ascii="Arial" w:cs="Arial" w:eastAsia="Arial" w:hAnsi="Arial"/>
          <w:sz w:val="13"/>
          <w:szCs w:val="13"/>
          <w:color w:val="auto"/>
        </w:rPr>
      </w:pPr>
    </w:p>
    <w:p>
      <w:pPr>
        <w:ind w:left="1660" w:hanging="626"/>
        <w:spacing w:after="0"/>
        <w:tabs>
          <w:tab w:leader="none" w:pos="166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partnership, corporation, limited liability company, trust, joint venture, unincorporated association, or other entity or association.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66" w:name="page367"/>
    <w:bookmarkEnd w:id="366"/>
    <w:p>
      <w:pPr>
        <w:ind w:left="1620" w:hanging="586"/>
        <w:spacing w:after="0"/>
        <w:tabs>
          <w:tab w:leader="none" w:pos="162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Stock</w:t>
      </w:r>
      <w:r>
        <w:rPr>
          <w:rFonts w:ascii="Arial" w:cs="Arial" w:eastAsia="Arial" w:hAnsi="Arial"/>
          <w:sz w:val="14"/>
          <w:szCs w:val="14"/>
          <w:color w:val="auto"/>
        </w:rPr>
        <w:t xml:space="preserve">” means Shares that are subject to restrictions pursuant to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hereof.</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Stock Unit</w:t>
      </w:r>
      <w:r>
        <w:rPr>
          <w:rFonts w:ascii="Arial" w:cs="Arial" w:eastAsia="Arial" w:hAnsi="Arial"/>
          <w:sz w:val="14"/>
          <w:szCs w:val="14"/>
          <w:color w:val="auto"/>
        </w:rPr>
        <w:t xml:space="preserve">” means a right granted under and subject to restrictions pursuant to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hereof.</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Shares</w:t>
      </w:r>
      <w:r>
        <w:rPr>
          <w:rFonts w:ascii="Arial" w:cs="Arial" w:eastAsia="Arial" w:hAnsi="Arial"/>
          <w:sz w:val="14"/>
          <w:szCs w:val="14"/>
          <w:color w:val="auto"/>
        </w:rPr>
        <w:t xml:space="preserve">” means shares of the Company’s common stock, par value $.001, subject to substitution or adjustment as provided in </w:t>
      </w:r>
      <w:r>
        <w:rPr>
          <w:rFonts w:ascii="Arial" w:cs="Arial" w:eastAsia="Arial" w:hAnsi="Arial"/>
          <w:sz w:val="14"/>
          <w:szCs w:val="14"/>
          <w:u w:val="single" w:color="auto"/>
          <w:color w:val="auto"/>
        </w:rPr>
        <w:t>Section 3(e)</w:t>
      </w:r>
      <w:r>
        <w:rPr>
          <w:rFonts w:ascii="Arial" w:cs="Arial" w:eastAsia="Arial" w:hAnsi="Arial"/>
          <w:sz w:val="14"/>
          <w:szCs w:val="14"/>
          <w:color w:val="auto"/>
        </w:rPr>
        <w:t xml:space="preserve"> hereof.</w:t>
      </w:r>
    </w:p>
    <w:p>
      <w:pPr>
        <w:spacing w:after="0" w:line="182" w:lineRule="exact"/>
        <w:rPr>
          <w:sz w:val="20"/>
          <w:szCs w:val="20"/>
          <w:color w:val="auto"/>
        </w:rPr>
      </w:pPr>
    </w:p>
    <w:p>
      <w:pPr>
        <w:ind w:left="1620" w:hanging="586"/>
        <w:spacing w:after="0"/>
        <w:tabs>
          <w:tab w:leader="none" w:pos="16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Appreciation Right</w:t>
      </w:r>
      <w:r>
        <w:rPr>
          <w:rFonts w:ascii="Arial" w:cs="Arial" w:eastAsia="Arial" w:hAnsi="Arial"/>
          <w:sz w:val="14"/>
          <w:szCs w:val="14"/>
          <w:color w:val="auto"/>
        </w:rPr>
        <w:t xml:space="preserve">” means a right granted under and subject to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hereof.</w:t>
      </w:r>
    </w:p>
    <w:p>
      <w:pPr>
        <w:spacing w:after="0" w:line="181" w:lineRule="exact"/>
        <w:rPr>
          <w:rFonts w:ascii="Arial" w:cs="Arial" w:eastAsia="Arial" w:hAnsi="Arial"/>
          <w:sz w:val="14"/>
          <w:szCs w:val="14"/>
          <w:color w:val="auto"/>
        </w:rPr>
      </w:pPr>
    </w:p>
    <w:p>
      <w:pPr>
        <w:ind w:left="1600" w:hanging="566"/>
        <w:spacing w:after="0"/>
        <w:tabs>
          <w:tab w:leader="none" w:pos="160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in respect of the Company, a subsidiary company as defined in Sections 424(f) and (g) of the Code.</w:t>
      </w:r>
    </w:p>
    <w:p>
      <w:pPr>
        <w:spacing w:after="0" w:line="178" w:lineRule="exact"/>
        <w:rPr>
          <w:sz w:val="20"/>
          <w:szCs w:val="20"/>
          <w:color w:val="auto"/>
        </w:rPr>
      </w:pPr>
    </w:p>
    <w:p>
      <w:pPr>
        <w:ind w:right="140" w:firstLine="1028"/>
        <w:spacing w:after="0" w:line="294" w:lineRule="auto"/>
        <w:rPr>
          <w:sz w:val="20"/>
          <w:szCs w:val="20"/>
          <w:color w:val="auto"/>
        </w:rPr>
      </w:pPr>
      <w:r>
        <w:rPr>
          <w:rFonts w:ascii="Arial" w:cs="Arial" w:eastAsia="Arial" w:hAnsi="Arial"/>
          <w:sz w:val="13"/>
          <w:szCs w:val="13"/>
          <w:b w:val="1"/>
          <w:bCs w:val="1"/>
          <w:color w:val="auto"/>
        </w:rPr>
        <w:t xml:space="preserve">Section 2. </w:t>
      </w:r>
      <w:r>
        <w:rPr>
          <w:rFonts w:ascii="Arial" w:cs="Arial" w:eastAsia="Arial" w:hAnsi="Arial"/>
          <w:sz w:val="13"/>
          <w:szCs w:val="13"/>
          <w:b w:val="1"/>
          <w:bCs w:val="1"/>
          <w:u w:val="single" w:color="auto"/>
          <w:color w:val="auto"/>
        </w:rPr>
        <w:t>Administration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Plan shall be administered by the Committee;</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that, notwithstanding anything to the contrary herein, in its sole discretion, the Board</w:t>
      </w:r>
      <w:r>
        <w:rPr>
          <w:rFonts w:ascii="Arial" w:cs="Arial" w:eastAsia="Arial" w:hAnsi="Arial"/>
          <w:sz w:val="13"/>
          <w:szCs w:val="13"/>
          <w:b w:val="1"/>
          <w:bCs w:val="1"/>
          <w:color w:val="auto"/>
        </w:rPr>
        <w:t xml:space="preserve"> </w:t>
      </w:r>
      <w:r>
        <w:rPr>
          <w:rFonts w:ascii="Arial" w:cs="Arial" w:eastAsia="Arial" w:hAnsi="Arial"/>
          <w:sz w:val="13"/>
          <w:szCs w:val="13"/>
          <w:color w:val="auto"/>
        </w:rPr>
        <w:t>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Committee will have full authority to grant Awards under this Plan and determine the terms of such Awards. Such authority will include the right to:</w:t>
      </w:r>
    </w:p>
    <w:p>
      <w:pPr>
        <w:spacing w:after="0" w:line="182" w:lineRule="exact"/>
        <w:rPr>
          <w:sz w:val="20"/>
          <w:szCs w:val="20"/>
          <w:color w:val="auto"/>
        </w:rPr>
      </w:pPr>
    </w:p>
    <w:p>
      <w:pPr>
        <w:ind w:left="1620" w:hanging="586"/>
        <w:spacing w:after="0"/>
        <w:tabs>
          <w:tab w:leader="none" w:pos="16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 xml:space="preserve">select the individuals to whom Awards are granted (consistent with the eligibility conditions set forth in </w:t>
      </w:r>
      <w:r>
        <w:rPr>
          <w:rFonts w:ascii="Arial" w:cs="Arial" w:eastAsia="Arial" w:hAnsi="Arial"/>
          <w:sz w:val="14"/>
          <w:szCs w:val="14"/>
          <w:u w:val="single" w:color="auto"/>
          <w:color w:val="auto"/>
        </w:rPr>
        <w:t>Section 4</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determine the type of Award to be granted;</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determine the number of Shares, if any, to be covered by each Award;</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establish the other terms and conditions of each Award;</w:t>
      </w:r>
    </w:p>
    <w:p>
      <w:pPr>
        <w:spacing w:after="0" w:line="181" w:lineRule="exact"/>
        <w:rPr>
          <w:rFonts w:ascii="Arial" w:cs="Arial" w:eastAsia="Arial" w:hAnsi="Arial"/>
          <w:sz w:val="14"/>
          <w:szCs w:val="14"/>
          <w:color w:val="auto"/>
        </w:rPr>
      </w:pPr>
    </w:p>
    <w:p>
      <w:pPr>
        <w:ind w:left="1620" w:hanging="586"/>
        <w:spacing w:after="0"/>
        <w:tabs>
          <w:tab w:leader="none" w:pos="16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approve forms of agreements (including Award Agreements) for use under the Plan; and</w:t>
      </w:r>
    </w:p>
    <w:p>
      <w:pPr>
        <w:spacing w:after="0" w:line="181" w:lineRule="exact"/>
        <w:rPr>
          <w:rFonts w:ascii="Arial" w:cs="Arial" w:eastAsia="Arial" w:hAnsi="Arial"/>
          <w:sz w:val="14"/>
          <w:szCs w:val="14"/>
          <w:color w:val="auto"/>
        </w:rPr>
      </w:pPr>
    </w:p>
    <w:p>
      <w:pPr>
        <w:ind w:left="1600" w:hanging="566"/>
        <w:spacing w:after="0"/>
        <w:tabs>
          <w:tab w:leader="none" w:pos="160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modify or amend each Award, subject to the Participant’s consent if such modification or amendment would materially impair such Participant’s rights.</w:t>
      </w:r>
    </w:p>
    <w:p>
      <w:pPr>
        <w:spacing w:after="0" w:line="182" w:lineRule="exact"/>
        <w:rPr>
          <w:sz w:val="20"/>
          <w:szCs w:val="20"/>
          <w:color w:val="auto"/>
        </w:rPr>
      </w:pPr>
    </w:p>
    <w:p>
      <w:pPr>
        <w:jc w:val="both"/>
        <w:ind w:firstLine="1028"/>
        <w:spacing w:after="0" w:line="270" w:lineRule="auto"/>
        <w:rPr>
          <w:sz w:val="20"/>
          <w:szCs w:val="20"/>
          <w:color w:val="auto"/>
        </w:rPr>
      </w:pPr>
      <w:r>
        <w:rPr>
          <w:rFonts w:ascii="Arial" w:cs="Arial" w:eastAsia="Arial" w:hAnsi="Arial"/>
          <w:sz w:val="14"/>
          <w:szCs w:val="14"/>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color w:val="auto"/>
        </w:rPr>
        <w:t>omission or reconcile any inconsistency in the Plan or in any Award Agreement in the manner and to the extent it deems necessary to carry out the intent of the Plan.</w:t>
      </w:r>
    </w:p>
    <w:p>
      <w:pPr>
        <w:spacing w:after="0" w:line="182" w:lineRule="exact"/>
        <w:rPr>
          <w:sz w:val="20"/>
          <w:szCs w:val="20"/>
          <w:color w:val="auto"/>
        </w:rPr>
      </w:pPr>
    </w:p>
    <w:p>
      <w:pPr>
        <w:ind w:right="40" w:firstLine="1028"/>
        <w:spacing w:after="0" w:line="270" w:lineRule="auto"/>
        <w:rPr>
          <w:sz w:val="20"/>
          <w:szCs w:val="20"/>
          <w:color w:val="auto"/>
        </w:rPr>
      </w:pPr>
      <w:r>
        <w:rPr>
          <w:rFonts w:ascii="Arial" w:cs="Arial" w:eastAsia="Arial" w:hAnsi="Arial"/>
          <w:sz w:val="14"/>
          <w:szCs w:val="14"/>
          <w:color w:val="auto"/>
        </w:rPr>
        <w:t>To the extent permitted by Applicable Law, the Committee may delegate to one or more officers of the Company the authority to grant Awards to Participants who are not subject to the requirements of Section 16 of the Exchange Act and the rules and regulations thereunder. The Committee may revoke any such allocation or delegation at any time for any reason with or without prior notice.</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No Director will be liable for any good faith determination, act or omission in connection with the Plan or any Award.</w:t>
      </w:r>
    </w:p>
    <w:p>
      <w:pPr>
        <w:spacing w:after="0" w:line="178" w:lineRule="exact"/>
        <w:rPr>
          <w:sz w:val="20"/>
          <w:szCs w:val="20"/>
          <w:color w:val="auto"/>
        </w:rPr>
      </w:pPr>
    </w:p>
    <w:p>
      <w:pPr>
        <w:ind w:left="1040"/>
        <w:spacing w:after="0"/>
        <w:tabs>
          <w:tab w:leader="none" w:pos="182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2"/>
          <w:szCs w:val="12"/>
          <w:b w:val="1"/>
          <w:bCs w:val="1"/>
          <w:u w:val="single" w:color="auto"/>
          <w:color w:val="auto"/>
        </w:rPr>
        <w:t>Shares Subject to the Plan</w:t>
      </w:r>
      <w:r>
        <w:rPr>
          <w:rFonts w:ascii="Arial" w:cs="Arial" w:eastAsia="Arial" w:hAnsi="Arial"/>
          <w:sz w:val="12"/>
          <w:szCs w:val="12"/>
          <w:b w:val="1"/>
          <w:bCs w:val="1"/>
          <w:color w:val="auto"/>
        </w:rPr>
        <w:t>.</w:t>
      </w:r>
    </w:p>
    <w:p>
      <w:pPr>
        <w:spacing w:after="0" w:line="186" w:lineRule="exact"/>
        <w:rPr>
          <w:sz w:val="20"/>
          <w:szCs w:val="20"/>
          <w:color w:val="auto"/>
        </w:rPr>
      </w:pPr>
    </w:p>
    <w:p>
      <w:pPr>
        <w:ind w:firstLine="1034"/>
        <w:spacing w:after="0" w:line="259" w:lineRule="auto"/>
        <w:tabs>
          <w:tab w:leader="none" w:pos="1615" w:val="left"/>
        </w:tabs>
        <w:numPr>
          <w:ilvl w:val="0"/>
          <w:numId w:val="226"/>
        </w:numPr>
        <w:rPr>
          <w:rFonts w:ascii="Arial" w:cs="Arial" w:eastAsia="Arial" w:hAnsi="Arial"/>
          <w:sz w:val="14"/>
          <w:szCs w:val="14"/>
          <w:color w:val="auto"/>
        </w:rPr>
      </w:pPr>
      <w:r>
        <w:rPr>
          <w:rFonts w:ascii="Arial" w:cs="Arial" w:eastAsia="Arial" w:hAnsi="Arial"/>
          <w:sz w:val="14"/>
          <w:szCs w:val="14"/>
          <w:color w:val="auto"/>
        </w:rPr>
        <w:t>Shares Subject to the Plan. Subject to adjustment as provided in this Section 3(a), Section 3(d), and in Section 3(e) of the Plan, the maximum number of Shares that may be issued in respect of Awards under the Plan is the sum of: (i) 5,640,711 Shares and (ii) an annual increase on January 1, 2022 and each anniversary of such date thereafter prior to the termination of the Plan, equal to the lesser of (A) 5% of the Shares issued and outstanding on the last day of the immediately preceding fiscal year and (B) such smaller number of Shares as determined by the Board (collectively, the “Plan Limit”). If any award granted under the Century Therapeutics, Inc. 2018 Stock Option and Grant Plan, as amended (the “Prior Plan”), expires, terminates, is canceled or is forfeited for any reason after the Effective Time, the Shares subject to that award will be added to the Plan Limit and become available for issuance hereunder, provided that the number of Shares added to the Plan Limit pursuant to this sentence and the second sentence of Section 3(d) below (relating to Shares withheld in satisfaction of the exercise price or tax withholding obligations associated with Prior Plan awards) will not exceed 9,305,283.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w:t>
      </w:r>
    </w:p>
    <w:p>
      <w:pPr>
        <w:spacing w:after="0" w:line="149" w:lineRule="exact"/>
        <w:rPr>
          <w:rFonts w:ascii="Arial" w:cs="Arial" w:eastAsia="Arial" w:hAnsi="Arial"/>
          <w:sz w:val="14"/>
          <w:szCs w:val="14"/>
          <w:color w:val="auto"/>
        </w:rPr>
      </w:pPr>
    </w:p>
    <w:p>
      <w:pPr>
        <w:ind w:right="240" w:firstLine="1034"/>
        <w:spacing w:after="0" w:line="285" w:lineRule="auto"/>
        <w:tabs>
          <w:tab w:leader="none" w:pos="1623"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Incentive Stock Option Limit</w:t>
      </w:r>
      <w:r>
        <w:rPr>
          <w:rFonts w:ascii="Arial" w:cs="Arial" w:eastAsia="Arial" w:hAnsi="Arial"/>
          <w:sz w:val="14"/>
          <w:szCs w:val="14"/>
          <w:color w:val="auto"/>
        </w:rPr>
        <w:t xml:space="preserve">. Subject to adjustment as provided in </w:t>
      </w:r>
      <w:r>
        <w:rPr>
          <w:rFonts w:ascii="Arial" w:cs="Arial" w:eastAsia="Arial" w:hAnsi="Arial"/>
          <w:sz w:val="14"/>
          <w:szCs w:val="14"/>
          <w:u w:val="single" w:color="auto"/>
          <w:color w:val="auto"/>
        </w:rPr>
        <w:t>Section 3(e)</w:t>
      </w:r>
      <w:r>
        <w:rPr>
          <w:rFonts w:ascii="Arial" w:cs="Arial" w:eastAsia="Arial" w:hAnsi="Arial"/>
          <w:sz w:val="14"/>
          <w:szCs w:val="14"/>
          <w:color w:val="auto"/>
        </w:rPr>
        <w:t xml:space="preserve"> of the Plan, the maximum aggregate number of Shares that may be issued under the Plan in respect of Incentive Stock Options is 16,922,133.</w:t>
      </w:r>
    </w:p>
    <w:p>
      <w:pPr>
        <w:spacing w:after="0" w:line="131" w:lineRule="exact"/>
        <w:rPr>
          <w:rFonts w:ascii="Arial" w:cs="Arial" w:eastAsia="Arial" w:hAnsi="Arial"/>
          <w:sz w:val="14"/>
          <w:szCs w:val="14"/>
          <w:color w:val="auto"/>
        </w:rPr>
      </w:pPr>
    </w:p>
    <w:p>
      <w:pPr>
        <w:ind w:right="120" w:firstLine="1034"/>
        <w:spacing w:after="0" w:line="300" w:lineRule="auto"/>
        <w:tabs>
          <w:tab w:leader="none" w:pos="1615" w:val="left"/>
        </w:tabs>
        <w:numPr>
          <w:ilvl w:val="0"/>
          <w:numId w:val="226"/>
        </w:numPr>
        <w:rPr>
          <w:rFonts w:ascii="Arial" w:cs="Arial" w:eastAsia="Arial" w:hAnsi="Arial"/>
          <w:sz w:val="13"/>
          <w:szCs w:val="13"/>
          <w:color w:val="auto"/>
        </w:rPr>
      </w:pPr>
      <w:r>
        <w:rPr>
          <w:rFonts w:ascii="Arial" w:cs="Arial" w:eastAsia="Arial" w:hAnsi="Arial"/>
          <w:sz w:val="13"/>
          <w:szCs w:val="13"/>
          <w:u w:val="single" w:color="auto"/>
          <w:color w:val="auto"/>
        </w:rPr>
        <w:t>Effect of the Expiration or Termination of Awards</w:t>
      </w:r>
      <w:r>
        <w:rPr>
          <w:rFonts w:ascii="Arial" w:cs="Arial" w:eastAsia="Arial" w:hAnsi="Arial"/>
          <w:sz w:val="13"/>
          <w:szCs w:val="13"/>
          <w:color w:val="auto"/>
        </w:rPr>
        <w:t>. If and to the extent that an Option or a Stock Appreciation Right expires, terminates or is canceled or forfeited for any reason without having been exercised in full, the Shares associated with that Award will again become available for grant under the Plan. Similarly, if and to the extent an Award of Restricted Stock or Restricted Stock Units is canceled or forfeited for any reason, the Shares subject to that Award will again become available for grant under the Plan.</w:t>
      </w:r>
    </w:p>
    <w:p>
      <w:pPr>
        <w:spacing w:after="0" w:line="124" w:lineRule="exact"/>
        <w:rPr>
          <w:rFonts w:ascii="Arial" w:cs="Arial" w:eastAsia="Arial" w:hAnsi="Arial"/>
          <w:sz w:val="13"/>
          <w:szCs w:val="13"/>
          <w:color w:val="auto"/>
        </w:rPr>
      </w:pPr>
    </w:p>
    <w:p>
      <w:pPr>
        <w:ind w:right="60" w:firstLine="1034"/>
        <w:spacing w:after="0" w:line="285" w:lineRule="auto"/>
        <w:tabs>
          <w:tab w:leader="none" w:pos="1623"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Shares Withheld in Satisfaction of Taxes or Exercise Price</w:t>
      </w:r>
      <w:r>
        <w:rPr>
          <w:rFonts w:ascii="Arial" w:cs="Arial" w:eastAsia="Arial" w:hAnsi="Arial"/>
          <w:sz w:val="14"/>
          <w:szCs w:val="14"/>
          <w:color w:val="auto"/>
        </w:rPr>
        <w:t>. Shares withheld in settlement of a tax withholding obligation associated with an Award, or in satisfaction of the exercise price payable upon exercise of an Option, will again become available for grant under the Plan. Similarly, Shares withheld following the Effective Time in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00" w:top="750" w:right="359" w:bottom="1440" w:gutter="0" w:footer="0" w:header="0"/>
        </w:sectPr>
      </w:pPr>
    </w:p>
    <w:bookmarkStart w:id="368" w:name="page369"/>
    <w:bookmarkEnd w:id="368"/>
    <w:p>
      <w:pPr>
        <w:ind w:right="160"/>
        <w:spacing w:after="0" w:line="285" w:lineRule="auto"/>
        <w:rPr>
          <w:sz w:val="20"/>
          <w:szCs w:val="20"/>
          <w:color w:val="auto"/>
        </w:rPr>
      </w:pPr>
      <w:r>
        <w:rPr>
          <w:rFonts w:ascii="Arial" w:cs="Arial" w:eastAsia="Arial" w:hAnsi="Arial"/>
          <w:sz w:val="14"/>
          <w:szCs w:val="14"/>
          <w:color w:val="auto"/>
        </w:rPr>
        <w:t>settlement of a tax withholding obligation associated with an award granted under the Prior Plan, or in satisfaction of the exercise price payable upon exercise of an option granted under the Prior Plan, will be added to the Plan Limit and become available for issuance hereunder.</w:t>
      </w:r>
    </w:p>
    <w:p>
      <w:pPr>
        <w:spacing w:after="0" w:line="132" w:lineRule="exact"/>
        <w:rPr>
          <w:sz w:val="20"/>
          <w:szCs w:val="20"/>
          <w:color w:val="auto"/>
        </w:rPr>
      </w:pPr>
    </w:p>
    <w:p>
      <w:pPr>
        <w:ind w:firstLine="1034"/>
        <w:spacing w:after="0" w:line="316" w:lineRule="auto"/>
        <w:tabs>
          <w:tab w:leader="none" w:pos="1615" w:val="left"/>
        </w:tabs>
        <w:numPr>
          <w:ilvl w:val="0"/>
          <w:numId w:val="227"/>
        </w:numPr>
        <w:rPr>
          <w:rFonts w:ascii="Arial" w:cs="Arial" w:eastAsia="Arial" w:hAnsi="Arial"/>
          <w:sz w:val="12"/>
          <w:szCs w:val="12"/>
          <w:color w:val="auto"/>
        </w:rPr>
      </w:pPr>
      <w:r>
        <w:rPr>
          <w:rFonts w:ascii="Arial" w:cs="Arial" w:eastAsia="Arial" w:hAnsi="Arial"/>
          <w:sz w:val="12"/>
          <w:szCs w:val="12"/>
          <w:u w:val="single" w:color="auto"/>
          <w:color w:val="auto"/>
        </w:rPr>
        <w:t>Other Adjustment</w:t>
      </w:r>
      <w:r>
        <w:rPr>
          <w:rFonts w:ascii="Arial" w:cs="Arial" w:eastAsia="Arial" w:hAnsi="Arial"/>
          <w:sz w:val="12"/>
          <w:szCs w:val="12"/>
          <w:color w:val="auto"/>
        </w:rPr>
        <w:t>. In the event of any corporate event or transaction such as a merger, consolidation, reorganization, recapitalization, stock split, reverse stock split, split up, spin-off, combination of shares, exchange of shares, stock dividend, dividend in kind, or other like change in capital structure (other than ordinary cash dividends) to stockholders of the Company, or other similar corporate event or transaction affecting the Shares,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119" w:lineRule="exact"/>
        <w:rPr>
          <w:rFonts w:ascii="Arial" w:cs="Arial" w:eastAsia="Arial" w:hAnsi="Arial"/>
          <w:sz w:val="12"/>
          <w:szCs w:val="12"/>
          <w:color w:val="auto"/>
        </w:rPr>
      </w:pPr>
    </w:p>
    <w:p>
      <w:pPr>
        <w:ind w:right="120" w:firstLine="1034"/>
        <w:spacing w:after="0" w:line="325" w:lineRule="auto"/>
        <w:tabs>
          <w:tab w:leader="none" w:pos="1599" w:val="left"/>
        </w:tabs>
        <w:numPr>
          <w:ilvl w:val="0"/>
          <w:numId w:val="227"/>
        </w:numPr>
        <w:rPr>
          <w:rFonts w:ascii="Arial" w:cs="Arial" w:eastAsia="Arial" w:hAnsi="Arial"/>
          <w:sz w:val="13"/>
          <w:szCs w:val="13"/>
          <w:color w:val="auto"/>
        </w:rPr>
      </w:pPr>
      <w:r>
        <w:rPr>
          <w:rFonts w:ascii="Arial" w:cs="Arial" w:eastAsia="Arial" w:hAnsi="Arial"/>
          <w:sz w:val="13"/>
          <w:szCs w:val="13"/>
          <w:u w:val="single" w:color="auto"/>
          <w:color w:val="auto"/>
        </w:rPr>
        <w:t>Change in Control</w:t>
      </w:r>
      <w:r>
        <w:rPr>
          <w:rFonts w:ascii="Arial" w:cs="Arial" w:eastAsia="Arial" w:hAnsi="Arial"/>
          <w:sz w:val="13"/>
          <w:szCs w:val="13"/>
          <w:color w:val="auto"/>
        </w:rPr>
        <w:t>. Notwithstanding anything to the contrary set forth in the Plan, upon or in anticipation of any Change in Control, the Committee may, in its sole and absolute discretion and without the need for the consent of any Participant, take one or more of the following actions contingent upon the occurrence of that Change in Control:</w:t>
      </w:r>
    </w:p>
    <w:p>
      <w:pPr>
        <w:spacing w:after="0" w:line="109" w:lineRule="exact"/>
        <w:rPr>
          <w:rFonts w:ascii="Arial" w:cs="Arial" w:eastAsia="Arial" w:hAnsi="Arial"/>
          <w:sz w:val="13"/>
          <w:szCs w:val="13"/>
          <w:color w:val="auto"/>
        </w:rPr>
      </w:pPr>
    </w:p>
    <w:p>
      <w:pPr>
        <w:ind w:left="2140" w:hanging="592"/>
        <w:spacing w:after="0"/>
        <w:tabs>
          <w:tab w:leader="none" w:pos="214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cause any or all outstanding Awards to become vested and immediately exercisable (as applicable), in whole or in part;</w:t>
      </w:r>
    </w:p>
    <w:p>
      <w:pPr>
        <w:spacing w:after="0" w:line="181" w:lineRule="exact"/>
        <w:rPr>
          <w:rFonts w:ascii="Arial" w:cs="Arial" w:eastAsia="Arial" w:hAnsi="Arial"/>
          <w:sz w:val="14"/>
          <w:szCs w:val="14"/>
          <w:color w:val="auto"/>
        </w:rPr>
      </w:pPr>
    </w:p>
    <w:p>
      <w:pPr>
        <w:ind w:left="520" w:right="400" w:firstLine="1028"/>
        <w:spacing w:after="0" w:line="325" w:lineRule="auto"/>
        <w:tabs>
          <w:tab w:leader="none" w:pos="2151" w:val="left"/>
        </w:tabs>
        <w:numPr>
          <w:ilvl w:val="1"/>
          <w:numId w:val="227"/>
        </w:numPr>
        <w:rPr>
          <w:rFonts w:ascii="Arial" w:cs="Arial" w:eastAsia="Arial" w:hAnsi="Arial"/>
          <w:sz w:val="13"/>
          <w:szCs w:val="13"/>
          <w:color w:val="auto"/>
        </w:rPr>
      </w:pPr>
      <w:r>
        <w:rPr>
          <w:rFonts w:ascii="Arial" w:cs="Arial" w:eastAsia="Arial" w:hAnsi="Arial"/>
          <w:sz w:val="13"/>
          <w:szCs w:val="13"/>
          <w:color w:val="auto"/>
        </w:rPr>
        <w:t>cause any outstanding Option or Stock Appreciation Right to become fully vested and immediately exercisable for a reasonable period in advance of the Change in Control and, to the extent not exercised prior to that Change in Control, cancel that Option or Stock Appreciation Right upon closing of the Change in Control;</w:t>
      </w:r>
    </w:p>
    <w:p>
      <w:pPr>
        <w:spacing w:after="0" w:line="109" w:lineRule="exact"/>
        <w:rPr>
          <w:rFonts w:ascii="Arial" w:cs="Arial" w:eastAsia="Arial" w:hAnsi="Arial"/>
          <w:sz w:val="13"/>
          <w:szCs w:val="13"/>
          <w:color w:val="auto"/>
        </w:rPr>
      </w:pPr>
    </w:p>
    <w:p>
      <w:pPr>
        <w:ind w:left="2160" w:hanging="612"/>
        <w:spacing w:after="0"/>
        <w:tabs>
          <w:tab w:leader="none" w:pos="216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cancel any unvested Award or unvested portion thereof, with or without consideration;</w:t>
      </w:r>
    </w:p>
    <w:p>
      <w:pPr>
        <w:spacing w:after="0" w:line="181" w:lineRule="exact"/>
        <w:rPr>
          <w:rFonts w:ascii="Arial" w:cs="Arial" w:eastAsia="Arial" w:hAnsi="Arial"/>
          <w:sz w:val="14"/>
          <w:szCs w:val="14"/>
          <w:color w:val="auto"/>
        </w:rPr>
      </w:pPr>
    </w:p>
    <w:p>
      <w:pPr>
        <w:ind w:left="2140" w:hanging="592"/>
        <w:spacing w:after="0"/>
        <w:tabs>
          <w:tab w:leader="none" w:pos="214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cancel any Award in exchange for a substitute award;</w:t>
      </w:r>
    </w:p>
    <w:p>
      <w:pPr>
        <w:spacing w:after="0" w:line="181" w:lineRule="exact"/>
        <w:rPr>
          <w:rFonts w:ascii="Arial" w:cs="Arial" w:eastAsia="Arial" w:hAnsi="Arial"/>
          <w:sz w:val="14"/>
          <w:szCs w:val="14"/>
          <w:color w:val="auto"/>
        </w:rPr>
      </w:pPr>
    </w:p>
    <w:p>
      <w:pPr>
        <w:ind w:left="520" w:firstLine="1028"/>
        <w:spacing w:after="0" w:line="285" w:lineRule="auto"/>
        <w:tabs>
          <w:tab w:leader="none" w:pos="2143" w:val="left"/>
        </w:tabs>
        <w:numPr>
          <w:ilvl w:val="1"/>
          <w:numId w:val="227"/>
        </w:numPr>
        <w:rPr>
          <w:rFonts w:ascii="Arial" w:cs="Arial" w:eastAsia="Arial" w:hAnsi="Arial"/>
          <w:sz w:val="14"/>
          <w:szCs w:val="14"/>
          <w:color w:val="auto"/>
        </w:rPr>
      </w:pPr>
      <w:r>
        <w:rPr>
          <w:rFonts w:ascii="Arial" w:cs="Arial" w:eastAsia="Arial" w:hAnsi="Arial"/>
          <w:sz w:val="14"/>
          <w:szCs w:val="14"/>
          <w:color w:val="auto"/>
        </w:rPr>
        <w:t>redeem any Restricted Stock or Restricted Stock Unit for cash and/or other substitute consideration with value equal to the Fair Market Value of an unrestricted Share on the date of the Change in Control;</w:t>
      </w:r>
    </w:p>
    <w:p>
      <w:pPr>
        <w:spacing w:after="0" w:line="131" w:lineRule="exact"/>
        <w:rPr>
          <w:rFonts w:ascii="Arial" w:cs="Arial" w:eastAsia="Arial" w:hAnsi="Arial"/>
          <w:sz w:val="14"/>
          <w:szCs w:val="14"/>
          <w:color w:val="auto"/>
        </w:rPr>
      </w:pPr>
    </w:p>
    <w:p>
      <w:pPr>
        <w:ind w:left="520" w:right="120" w:firstLine="1028"/>
        <w:spacing w:after="0" w:line="292" w:lineRule="auto"/>
        <w:tabs>
          <w:tab w:leader="none" w:pos="2146" w:val="left"/>
        </w:tabs>
        <w:numPr>
          <w:ilvl w:val="1"/>
          <w:numId w:val="227"/>
        </w:numPr>
        <w:rPr>
          <w:rFonts w:ascii="Arial" w:cs="Arial" w:eastAsia="Arial" w:hAnsi="Arial"/>
          <w:sz w:val="13"/>
          <w:szCs w:val="13"/>
          <w:color w:val="auto"/>
        </w:rPr>
      </w:pPr>
      <w:r>
        <w:rPr>
          <w:rFonts w:ascii="Arial" w:cs="Arial" w:eastAsia="Arial" w:hAnsi="Arial"/>
          <w:sz w:val="13"/>
          <w:szCs w:val="13"/>
          <w:color w:val="auto"/>
        </w:rPr>
        <w:t xml:space="preserve">cancel any Option or Stock Appreciation Right in exchange for cash and/or other substitute consideration with a value equal to: (A) the number of Shares subject to that Option or Stock Appreciation Right, multiplied by (B) the difference, if any, between the Fair Market Value on the date of the Change in Control and the exercise price of that Option or the base price of the Stock Appreciation Right;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Fair Market Value on the date of the Change in Control does not exceed the exercise price of any such Option or the base price of any such Stock Appreciation Right, the Committee may cancel that Option or Stock Appreciation Right without any payment of consideration therefor; and/or</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369" w:name="page370"/>
    <w:bookmarkEnd w:id="369"/>
    <w:p>
      <w:pPr>
        <w:ind w:left="2220" w:hanging="672"/>
        <w:spacing w:after="0"/>
        <w:tabs>
          <w:tab w:leader="none" w:pos="22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take such other action as the Committee determines to be appropriate under the circumstances.</w:t>
      </w:r>
    </w:p>
    <w:p>
      <w:pPr>
        <w:spacing w:after="0" w:line="182" w:lineRule="exact"/>
        <w:rPr>
          <w:sz w:val="20"/>
          <w:szCs w:val="20"/>
          <w:color w:val="auto"/>
        </w:rPr>
      </w:pPr>
    </w:p>
    <w:p>
      <w:pPr>
        <w:ind w:firstLine="1028"/>
        <w:spacing w:after="0" w:line="270" w:lineRule="auto"/>
        <w:rPr>
          <w:sz w:val="20"/>
          <w:szCs w:val="20"/>
          <w:color w:val="auto"/>
        </w:rPr>
      </w:pPr>
      <w:r>
        <w:rPr>
          <w:rFonts w:ascii="Arial" w:cs="Arial" w:eastAsia="Arial" w:hAnsi="Arial"/>
          <w:sz w:val="14"/>
          <w:szCs w:val="14"/>
          <w:color w:val="auto"/>
        </w:rPr>
        <w:t>In the discretion of the Committee, any cash or substitute consideration payable upon cancellation of an Award may be subjected to (i) vesting terms substantially identical to those that applied to the cancelled Award immediately prior to the Change in Control, or (ii) earn-out, escrow, holdback or similar arrangements, to the extent such arrangements are applicable to any consideration paid to stockholders in connection with the Change in Control.</w:t>
      </w:r>
    </w:p>
    <w:p>
      <w:pPr>
        <w:spacing w:after="0" w:line="142" w:lineRule="exact"/>
        <w:rPr>
          <w:sz w:val="20"/>
          <w:szCs w:val="20"/>
          <w:color w:val="auto"/>
        </w:rPr>
      </w:pPr>
    </w:p>
    <w:p>
      <w:pPr>
        <w:ind w:right="60" w:firstLine="1028"/>
        <w:spacing w:after="0" w:line="285" w:lineRule="auto"/>
        <w:rPr>
          <w:sz w:val="20"/>
          <w:szCs w:val="20"/>
          <w:color w:val="auto"/>
        </w:rPr>
      </w:pPr>
      <w:r>
        <w:rPr>
          <w:rFonts w:ascii="Arial" w:cs="Arial" w:eastAsia="Arial" w:hAnsi="Arial"/>
          <w:sz w:val="14"/>
          <w:szCs w:val="14"/>
          <w:color w:val="auto"/>
        </w:rPr>
        <w:t xml:space="preserve">Notwithstanding any provision of this </w:t>
      </w:r>
      <w:r>
        <w:rPr>
          <w:rFonts w:ascii="Arial" w:cs="Arial" w:eastAsia="Arial" w:hAnsi="Arial"/>
          <w:sz w:val="14"/>
          <w:szCs w:val="14"/>
          <w:u w:val="single" w:color="auto"/>
          <w:color w:val="auto"/>
        </w:rPr>
        <w:t>Section 3(f)</w:t>
      </w:r>
      <w:r>
        <w:rPr>
          <w:rFonts w:ascii="Arial" w:cs="Arial" w:eastAsia="Arial" w:hAnsi="Arial"/>
          <w:sz w:val="14"/>
          <w:szCs w:val="14"/>
          <w:color w:val="auto"/>
        </w:rPr>
        <w:t xml:space="preserve">, in the case of any Award subject to Section 409A of the Code, the Committee shall only be permitted to take actions under this </w:t>
      </w:r>
      <w:r>
        <w:rPr>
          <w:rFonts w:ascii="Arial" w:cs="Arial" w:eastAsia="Arial" w:hAnsi="Arial"/>
          <w:sz w:val="14"/>
          <w:szCs w:val="14"/>
          <w:u w:val="single" w:color="auto"/>
          <w:color w:val="auto"/>
        </w:rPr>
        <w:t>Section 3(f)</w:t>
      </w:r>
      <w:r>
        <w:rPr>
          <w:rFonts w:ascii="Arial" w:cs="Arial" w:eastAsia="Arial" w:hAnsi="Arial"/>
          <w:sz w:val="14"/>
          <w:szCs w:val="14"/>
          <w:color w:val="auto"/>
        </w:rPr>
        <w:t xml:space="preserve"> to the extent that such actions would be consistent with the intended treatment of such Award under Section 409A of the Code.</w:t>
      </w:r>
    </w:p>
    <w:p>
      <w:pPr>
        <w:spacing w:after="0" w:line="132" w:lineRule="exact"/>
        <w:rPr>
          <w:sz w:val="20"/>
          <w:szCs w:val="20"/>
          <w:color w:val="auto"/>
        </w:rPr>
      </w:pPr>
    </w:p>
    <w:p>
      <w:pPr>
        <w:ind w:right="40" w:firstLine="1034"/>
        <w:spacing w:after="0" w:line="260" w:lineRule="auto"/>
        <w:tabs>
          <w:tab w:leader="none" w:pos="1587"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Foreign Holders</w:t>
      </w:r>
      <w:r>
        <w:rPr>
          <w:rFonts w:ascii="Arial" w:cs="Arial" w:eastAsia="Arial" w:hAnsi="Arial"/>
          <w:sz w:val="14"/>
          <w:szCs w:val="14"/>
          <w:color w:val="auto"/>
        </w:rPr>
        <w:t xml:space="preserve">. Notwithstanding any provision of the Plan to the contrary, in order to comply with the laws in countries other than the United States in which the Company and its Subsidiaries operate or have employees, directors and consultants, or in order to comply with the requirements of any foreign securities exchange or other Applicable Law, the Committee, in its sole discretion, shall have the power and authority to: (i) modify the terms and conditions of any Award granted to employees, directors and consultants outside the 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such subplans and/or modifications shall increase the share limitations contained in </w:t>
      </w:r>
      <w:r>
        <w:rPr>
          <w:rFonts w:ascii="Arial" w:cs="Arial" w:eastAsia="Arial" w:hAnsi="Arial"/>
          <w:sz w:val="14"/>
          <w:szCs w:val="14"/>
          <w:u w:val="single" w:color="auto"/>
          <w:color w:val="auto"/>
        </w:rPr>
        <w:t>Section 3</w:t>
      </w:r>
      <w:r>
        <w:rPr>
          <w:rFonts w:ascii="Arial" w:cs="Arial" w:eastAsia="Arial" w:hAnsi="Arial"/>
          <w:sz w:val="14"/>
          <w:szCs w:val="14"/>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49" w:lineRule="exact"/>
        <w:rPr>
          <w:rFonts w:ascii="Arial" w:cs="Arial" w:eastAsia="Arial" w:hAnsi="Arial"/>
          <w:sz w:val="14"/>
          <w:szCs w:val="14"/>
          <w:color w:val="auto"/>
        </w:rPr>
      </w:pPr>
    </w:p>
    <w:p>
      <w:pPr>
        <w:ind w:right="60" w:firstLine="1034"/>
        <w:spacing w:after="0" w:line="281" w:lineRule="auto"/>
        <w:tabs>
          <w:tab w:leader="none" w:pos="1587" w:val="left"/>
        </w:tabs>
        <w:numPr>
          <w:ilvl w:val="0"/>
          <w:numId w:val="229"/>
        </w:numPr>
        <w:rPr>
          <w:rFonts w:ascii="Arial" w:cs="Arial" w:eastAsia="Arial" w:hAnsi="Arial"/>
          <w:sz w:val="13"/>
          <w:szCs w:val="13"/>
          <w:color w:val="auto"/>
        </w:rPr>
      </w:pPr>
      <w:r>
        <w:rPr>
          <w:rFonts w:ascii="Arial" w:cs="Arial" w:eastAsia="Arial" w:hAnsi="Arial"/>
          <w:sz w:val="13"/>
          <w:szCs w:val="13"/>
          <w:u w:val="single" w:color="auto"/>
          <w:color w:val="auto"/>
        </w:rPr>
        <w:t>Annual Compensation Limitations for Non-Employee Directors</w:t>
      </w:r>
      <w:r>
        <w:rPr>
          <w:rFonts w:ascii="Arial" w:cs="Arial" w:eastAsia="Arial" w:hAnsi="Arial"/>
          <w:sz w:val="13"/>
          <w:szCs w:val="13"/>
          <w:color w:val="auto"/>
        </w:rPr>
        <w:t>. Beginning with the calendar year following the year in which the Effective Time occurs, the aggregate amount of equity and cash compensation (collectively “</w:t>
      </w:r>
      <w:r>
        <w:rPr>
          <w:rFonts w:ascii="Arial" w:cs="Arial" w:eastAsia="Arial" w:hAnsi="Arial"/>
          <w:sz w:val="13"/>
          <w:szCs w:val="13"/>
          <w:u w:val="single" w:color="auto"/>
          <w:color w:val="auto"/>
        </w:rPr>
        <w:t>Compensation</w:t>
      </w:r>
      <w:r>
        <w:rPr>
          <w:rFonts w:ascii="Arial" w:cs="Arial" w:eastAsia="Arial" w:hAnsi="Arial"/>
          <w:sz w:val="13"/>
          <w:szCs w:val="13"/>
          <w:color w:val="auto"/>
        </w:rPr>
        <w:t>”) payable to a Non-Employee Director with respect to a calendar year, whether under the Plan or otherwise, for services as a Non-Employee Director, shall not exceed $750,000; provided however, that such amount shall be $1,000,000 for the calendar year in which the applicable Non-Employee Director is initially elected or appointed to the Board (collectively, the “</w:t>
      </w:r>
      <w:r>
        <w:rPr>
          <w:rFonts w:ascii="Arial" w:cs="Arial" w:eastAsia="Arial" w:hAnsi="Arial"/>
          <w:sz w:val="13"/>
          <w:szCs w:val="13"/>
          <w:u w:val="single" w:color="auto"/>
          <w:color w:val="auto"/>
        </w:rPr>
        <w:t>Director Limit</w:t>
      </w:r>
      <w:r>
        <w:rPr>
          <w:rFonts w:ascii="Arial" w:cs="Arial" w:eastAsia="Arial" w:hAnsi="Arial"/>
          <w:sz w:val="13"/>
          <w:szCs w:val="13"/>
          <w:color w:val="auto"/>
        </w:rPr>
        <w:t>”). Equity incentive awards shall be counted towards the Director Limit in the year in which they are granted, based on the grant date fair value of such awards for financial reporting purposes (but excluding the impact of estimated forfeitures related to service-based vesting provisions). Cash fees shall be counted towards the Director Limit in the year for which they are reported as compensation in the Company’s director compensation disclosures pursuant to Item 402 of Regulation S-K under the US Securities Act of 1933, or a successor provision. The Director Limit shall not apply to (i) Compensation earned by a Non-Employee Director solely in his or her capacity as chairman of the Board or lead independent director; (ii) Compensation earned with respect to services a Non-Employee Director provides in a capacity other than as a Non-Employee Director, such as an advisor or consultant to the Company; and (iii) Compensation awarded by the Board to a Non-Employee Director in extraordinary circumstances, as</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70" w:name="page371"/>
    <w:bookmarkEnd w:id="370"/>
    <w:p>
      <w:pPr>
        <w:spacing w:after="0" w:line="285" w:lineRule="auto"/>
        <w:rPr>
          <w:sz w:val="20"/>
          <w:szCs w:val="20"/>
          <w:color w:val="auto"/>
        </w:rPr>
      </w:pPr>
      <w:r>
        <w:rPr>
          <w:rFonts w:ascii="Arial" w:cs="Arial" w:eastAsia="Arial" w:hAnsi="Arial"/>
          <w:sz w:val="14"/>
          <w:szCs w:val="14"/>
          <w:color w:val="auto"/>
        </w:rPr>
        <w:t>determined by the Board in its discretion, in each case provided that the Non-Employee Director receiving such additional Compensation does not participate in the decision to award such Compensation.</w:t>
      </w:r>
    </w:p>
    <w:p>
      <w:pPr>
        <w:spacing w:after="0" w:line="128" w:lineRule="exact"/>
        <w:rPr>
          <w:sz w:val="20"/>
          <w:szCs w:val="20"/>
          <w:color w:val="auto"/>
        </w:rPr>
      </w:pPr>
    </w:p>
    <w:p>
      <w:pPr>
        <w:ind w:right="180" w:firstLine="1028"/>
        <w:spacing w:after="0" w:line="291" w:lineRule="auto"/>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Eligibility</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Directors, consultants, and other individuals who provide services to the Company or its Affiliates are eligible to be granted Awards under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Plan; </w:t>
      </w:r>
      <w:r>
        <w:rPr>
          <w:rFonts w:ascii="Arial" w:cs="Arial" w:eastAsia="Arial" w:hAnsi="Arial"/>
          <w:sz w:val="14"/>
          <w:szCs w:val="14"/>
          <w:i w:val="1"/>
          <w:iCs w:val="1"/>
          <w:color w:val="auto"/>
        </w:rPr>
        <w:t>provided, however</w:t>
      </w:r>
      <w:r>
        <w:rPr>
          <w:rFonts w:ascii="Arial" w:cs="Arial" w:eastAsia="Arial" w:hAnsi="Arial"/>
          <w:sz w:val="14"/>
          <w:szCs w:val="14"/>
          <w:color w:val="auto"/>
        </w:rPr>
        <w:t>, that only employees of the Company, any Parent or a Subsidiary are eligible to be granted Incentive Stock Options.</w:t>
      </w:r>
    </w:p>
    <w:p>
      <w:pPr>
        <w:spacing w:after="0" w:line="124" w:lineRule="exact"/>
        <w:rPr>
          <w:sz w:val="20"/>
          <w:szCs w:val="20"/>
          <w:color w:val="auto"/>
        </w:rPr>
      </w:pPr>
    </w:p>
    <w:p>
      <w:pPr>
        <w:ind w:right="240" w:firstLine="1028"/>
        <w:spacing w:after="0" w:line="291" w:lineRule="auto"/>
        <w:rPr>
          <w:sz w:val="20"/>
          <w:szCs w:val="20"/>
          <w:color w:val="auto"/>
        </w:rPr>
      </w:pPr>
      <w:r>
        <w:rPr>
          <w:rFonts w:ascii="Arial" w:cs="Arial" w:eastAsia="Arial" w:hAnsi="Arial"/>
          <w:sz w:val="14"/>
          <w:szCs w:val="14"/>
          <w:b w:val="1"/>
          <w:bCs w:val="1"/>
          <w:color w:val="auto"/>
        </w:rPr>
        <w:t xml:space="preserve">Section 5. </w:t>
      </w:r>
      <w:r>
        <w:rPr>
          <w:rFonts w:ascii="Arial" w:cs="Arial" w:eastAsia="Arial" w:hAnsi="Arial"/>
          <w:sz w:val="14"/>
          <w:szCs w:val="14"/>
          <w:b w:val="1"/>
          <w:bCs w:val="1"/>
          <w:u w:val="single" w:color="auto"/>
          <w:color w:val="auto"/>
        </w:rPr>
        <w:t>Options</w:t>
      </w:r>
      <w:r>
        <w:rPr>
          <w:rFonts w:ascii="Arial" w:cs="Arial" w:eastAsia="Arial" w:hAnsi="Arial"/>
          <w:sz w:val="14"/>
          <w:szCs w:val="14"/>
          <w:b w:val="1"/>
          <w:bCs w:val="1"/>
          <w:color w:val="auto"/>
        </w:rPr>
        <w:t xml:space="preserve">. </w:t>
      </w:r>
      <w:r>
        <w:rPr>
          <w:rFonts w:ascii="Arial" w:cs="Arial" w:eastAsia="Arial" w:hAnsi="Arial"/>
          <w:sz w:val="14"/>
          <w:szCs w:val="14"/>
          <w:color w:val="auto"/>
        </w:rPr>
        <w:t>Options granted under the Plan may be of two types: (i) Incentive Stock Options or (ii) Non-Qualified Stock Options. The Award Agreement shall state</w:t>
      </w:r>
      <w:r>
        <w:rPr>
          <w:rFonts w:ascii="Arial" w:cs="Arial" w:eastAsia="Arial" w:hAnsi="Arial"/>
          <w:sz w:val="14"/>
          <w:szCs w:val="14"/>
          <w:b w:val="1"/>
          <w:bCs w:val="1"/>
          <w:color w:val="auto"/>
        </w:rPr>
        <w:t xml:space="preserve"> </w:t>
      </w:r>
      <w:r>
        <w:rPr>
          <w:rFonts w:ascii="Arial" w:cs="Arial" w:eastAsia="Arial" w:hAnsi="Arial"/>
          <w:sz w:val="14"/>
          <w:szCs w:val="14"/>
          <w:color w:val="auto"/>
        </w:rPr>
        <w:t>whether such grant is an Incentive Stock Option or a Non-Qualified Stock Option.</w:t>
      </w:r>
    </w:p>
    <w:p>
      <w:pPr>
        <w:spacing w:after="0" w:line="128" w:lineRule="exact"/>
        <w:rPr>
          <w:sz w:val="20"/>
          <w:szCs w:val="20"/>
          <w:color w:val="auto"/>
        </w:rPr>
      </w:pPr>
    </w:p>
    <w:p>
      <w:pPr>
        <w:ind w:right="80" w:firstLine="1028"/>
        <w:spacing w:after="0" w:line="285" w:lineRule="auto"/>
        <w:rPr>
          <w:sz w:val="20"/>
          <w:szCs w:val="20"/>
          <w:color w:val="auto"/>
        </w:rPr>
      </w:pPr>
      <w:r>
        <w:rPr>
          <w:rFonts w:ascii="Arial" w:cs="Arial" w:eastAsia="Arial" w:hAnsi="Arial"/>
          <w:sz w:val="14"/>
          <w:szCs w:val="14"/>
          <w:color w:val="auto"/>
        </w:rPr>
        <w:t>The Award Agreement evidencing any Option will incorporate the following terms and conditions and will contain such additional terms and conditions, not inconsistent with the terms of the Plan, as the Committee deems appropriate in its sole and absolute discretion:</w:t>
      </w:r>
    </w:p>
    <w:p>
      <w:pPr>
        <w:spacing w:after="0" w:line="132" w:lineRule="exact"/>
        <w:rPr>
          <w:sz w:val="20"/>
          <w:szCs w:val="20"/>
          <w:color w:val="auto"/>
        </w:rPr>
      </w:pPr>
    </w:p>
    <w:p>
      <w:pPr>
        <w:jc w:val="both"/>
        <w:ind w:right="20" w:firstLine="1034"/>
        <w:spacing w:after="0" w:line="265" w:lineRule="auto"/>
        <w:tabs>
          <w:tab w:leader="none" w:pos="1615"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Option Price</w:t>
      </w:r>
      <w:r>
        <w:rPr>
          <w:rFonts w:ascii="Arial" w:cs="Arial" w:eastAsia="Arial" w:hAnsi="Arial"/>
          <w:sz w:val="14"/>
          <w:szCs w:val="14"/>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45" w:lineRule="exact"/>
        <w:rPr>
          <w:rFonts w:ascii="Arial" w:cs="Arial" w:eastAsia="Arial" w:hAnsi="Arial"/>
          <w:sz w:val="14"/>
          <w:szCs w:val="14"/>
          <w:color w:val="auto"/>
        </w:rPr>
      </w:pPr>
    </w:p>
    <w:p>
      <w:pPr>
        <w:jc w:val="both"/>
        <w:ind w:right="140" w:firstLine="1034"/>
        <w:spacing w:after="0" w:line="265" w:lineRule="auto"/>
        <w:tabs>
          <w:tab w:leader="none" w:pos="1623"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Option Term</w:t>
      </w:r>
      <w:r>
        <w:rPr>
          <w:rFonts w:ascii="Arial" w:cs="Arial" w:eastAsia="Arial" w:hAnsi="Arial"/>
          <w:sz w:val="14"/>
          <w:szCs w:val="14"/>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expiration of the term of the Option.</w:t>
      </w:r>
    </w:p>
    <w:p>
      <w:pPr>
        <w:spacing w:after="0" w:line="145" w:lineRule="exact"/>
        <w:rPr>
          <w:rFonts w:ascii="Arial" w:cs="Arial" w:eastAsia="Arial" w:hAnsi="Arial"/>
          <w:sz w:val="14"/>
          <w:szCs w:val="14"/>
          <w:color w:val="auto"/>
        </w:rPr>
      </w:pPr>
    </w:p>
    <w:p>
      <w:pPr>
        <w:ind w:right="120" w:firstLine="1034"/>
        <w:spacing w:after="0" w:line="262" w:lineRule="auto"/>
        <w:tabs>
          <w:tab w:leader="none" w:pos="1615"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Exercisability</w:t>
      </w:r>
      <w:r>
        <w:rPr>
          <w:rFonts w:ascii="Arial" w:cs="Arial" w:eastAsia="Arial" w:hAnsi="Arial"/>
          <w:sz w:val="14"/>
          <w:szCs w:val="14"/>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performance goals, or such other factors as the Committee may determine in its sole discretion (the “</w:t>
      </w:r>
      <w:r>
        <w:rPr>
          <w:rFonts w:ascii="Arial" w:cs="Arial" w:eastAsia="Arial" w:hAnsi="Arial"/>
          <w:sz w:val="14"/>
          <w:szCs w:val="14"/>
          <w:u w:val="single" w:color="auto"/>
          <w:color w:val="auto"/>
        </w:rPr>
        <w:t>Vesting Conditions</w:t>
      </w:r>
      <w:r>
        <w:rPr>
          <w:rFonts w:ascii="Arial" w:cs="Arial" w:eastAsia="Arial" w:hAnsi="Arial"/>
          <w:sz w:val="14"/>
          <w:szCs w:val="14"/>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49" w:lineRule="exact"/>
        <w:rPr>
          <w:rFonts w:ascii="Arial" w:cs="Arial" w:eastAsia="Arial" w:hAnsi="Arial"/>
          <w:sz w:val="14"/>
          <w:szCs w:val="14"/>
          <w:color w:val="auto"/>
        </w:rPr>
      </w:pPr>
    </w:p>
    <w:p>
      <w:pPr>
        <w:ind w:right="140" w:firstLine="1034"/>
        <w:spacing w:after="0" w:line="285" w:lineRule="auto"/>
        <w:tabs>
          <w:tab w:leader="none" w:pos="1623"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xml:space="preserve">. Subject to the terms of the applicable Award Agreement, the exercisability provisions of </w:t>
      </w:r>
      <w:r>
        <w:rPr>
          <w:rFonts w:ascii="Arial" w:cs="Arial" w:eastAsia="Arial" w:hAnsi="Arial"/>
          <w:sz w:val="14"/>
          <w:szCs w:val="14"/>
          <w:u w:val="single" w:color="auto"/>
          <w:color w:val="auto"/>
        </w:rPr>
        <w:t>Section 5(c)</w:t>
      </w:r>
      <w:r>
        <w:rPr>
          <w:rFonts w:ascii="Arial" w:cs="Arial" w:eastAsia="Arial" w:hAnsi="Arial"/>
          <w:sz w:val="14"/>
          <w:szCs w:val="14"/>
          <w:color w:val="auto"/>
        </w:rPr>
        <w:t xml:space="preserve"> and the termination provisions of </w:t>
      </w:r>
      <w:r>
        <w:rPr>
          <w:rFonts w:ascii="Arial" w:cs="Arial" w:eastAsia="Arial" w:hAnsi="Arial"/>
          <w:sz w:val="14"/>
          <w:szCs w:val="14"/>
          <w:u w:val="single" w:color="auto"/>
          <w:color w:val="auto"/>
        </w:rPr>
        <w:t>Section 7</w:t>
      </w:r>
      <w:r>
        <w:rPr>
          <w:rFonts w:ascii="Arial" w:cs="Arial" w:eastAsia="Arial" w:hAnsi="Arial"/>
          <w:sz w:val="14"/>
          <w:szCs w:val="14"/>
          <w:color w:val="auto"/>
        </w:rPr>
        <w:t>, Options may be exercised in whole or in part from time to time during their term by</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71" w:name="page372"/>
    <w:bookmarkEnd w:id="371"/>
    <w:p>
      <w:pPr>
        <w:spacing w:after="0" w:line="287" w:lineRule="auto"/>
        <w:rPr>
          <w:sz w:val="20"/>
          <w:szCs w:val="20"/>
          <w:color w:val="auto"/>
        </w:rPr>
      </w:pPr>
      <w:r>
        <w:rPr>
          <w:rFonts w:ascii="Arial" w:cs="Arial" w:eastAsia="Arial" w:hAnsi="Arial"/>
          <w:sz w:val="13"/>
          <w:szCs w:val="13"/>
          <w:color w:val="auto"/>
        </w:rPr>
        <w:t>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sole discretion, permit payment of the exercise price of an Option in the form of previously acquired Shares based on the Fair Market Value of the Shares on the date the Option is exercised or by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 (b) the Option exercise price, divided by (B) the then current Fair Market Value.</w:t>
      </w:r>
    </w:p>
    <w:p>
      <w:pPr>
        <w:spacing w:after="0" w:line="134" w:lineRule="exact"/>
        <w:rPr>
          <w:sz w:val="20"/>
          <w:szCs w:val="20"/>
          <w:color w:val="auto"/>
        </w:rPr>
      </w:pPr>
    </w:p>
    <w:p>
      <w:pPr>
        <w:ind w:right="80" w:firstLine="1028"/>
        <w:spacing w:after="0" w:line="285" w:lineRule="auto"/>
        <w:rPr>
          <w:sz w:val="20"/>
          <w:szCs w:val="20"/>
          <w:color w:val="auto"/>
        </w:rPr>
      </w:pPr>
      <w:r>
        <w:rPr>
          <w:rFonts w:ascii="Arial" w:cs="Arial" w:eastAsia="Arial" w:hAnsi="Arial"/>
          <w:sz w:val="14"/>
          <w:szCs w:val="14"/>
          <w:color w:val="auto"/>
        </w:rPr>
        <w:t>An Option will not confer upon the Participant any of the rights or privileges of a stockholder in the Company unless and until the Participant exercises the Option in accordance with the paragraph above and is issued Shares pursuant to such exercise.</w:t>
      </w:r>
    </w:p>
    <w:p>
      <w:pPr>
        <w:spacing w:after="0" w:line="132" w:lineRule="exact"/>
        <w:rPr>
          <w:sz w:val="20"/>
          <w:szCs w:val="20"/>
          <w:color w:val="auto"/>
        </w:rPr>
      </w:pPr>
    </w:p>
    <w:p>
      <w:pPr>
        <w:ind w:right="100" w:firstLine="1034"/>
        <w:spacing w:after="0" w:line="265" w:lineRule="auto"/>
        <w:tabs>
          <w:tab w:leader="none" w:pos="1615"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Incentive Stock Option Limitations</w:t>
      </w:r>
      <w:r>
        <w:rPr>
          <w:rFonts w:ascii="Arial" w:cs="Arial" w:eastAsia="Arial" w:hAnsi="Arial"/>
          <w:sz w:val="14"/>
          <w:szCs w:val="14"/>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45" w:lineRule="exact"/>
        <w:rPr>
          <w:rFonts w:ascii="Arial" w:cs="Arial" w:eastAsia="Arial" w:hAnsi="Arial"/>
          <w:sz w:val="14"/>
          <w:szCs w:val="14"/>
          <w:color w:val="auto"/>
        </w:rPr>
      </w:pPr>
    </w:p>
    <w:p>
      <w:pPr>
        <w:ind w:right="40" w:firstLine="1034"/>
        <w:spacing w:after="0" w:line="285" w:lineRule="auto"/>
        <w:tabs>
          <w:tab w:leader="none" w:pos="1599"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Termination of Service</w:t>
      </w:r>
      <w:r>
        <w:rPr>
          <w:rFonts w:ascii="Arial" w:cs="Arial" w:eastAsia="Arial" w:hAnsi="Arial"/>
          <w:sz w:val="14"/>
          <w:szCs w:val="14"/>
          <w:color w:val="auto"/>
        </w:rPr>
        <w:t xml:space="preserve">. Unless otherwise specified in the applicable Award Agreement or as otherwise provided by the Committee at or after the time of grant, Options will be subject to the terms of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with respect to exercise upon or following termination of employment or other service.</w:t>
      </w:r>
    </w:p>
    <w:p>
      <w:pPr>
        <w:spacing w:after="0" w:line="128" w:lineRule="exact"/>
        <w:rPr>
          <w:sz w:val="20"/>
          <w:szCs w:val="20"/>
          <w:color w:val="auto"/>
        </w:rPr>
      </w:pPr>
    </w:p>
    <w:p>
      <w:pPr>
        <w:ind w:right="60" w:firstLine="1028"/>
        <w:spacing w:after="0" w:line="259" w:lineRule="auto"/>
        <w:rPr>
          <w:sz w:val="20"/>
          <w:szCs w:val="20"/>
          <w:color w:val="auto"/>
        </w:rPr>
      </w:pPr>
      <w:r>
        <w:rPr>
          <w:rFonts w:ascii="Arial" w:cs="Arial" w:eastAsia="Arial" w:hAnsi="Arial"/>
          <w:sz w:val="14"/>
          <w:szCs w:val="14"/>
          <w:b w:val="1"/>
          <w:bCs w:val="1"/>
          <w:color w:val="auto"/>
        </w:rPr>
        <w:t xml:space="preserve">Section 6. </w:t>
      </w:r>
      <w:r>
        <w:rPr>
          <w:rFonts w:ascii="Arial" w:cs="Arial" w:eastAsia="Arial" w:hAnsi="Arial"/>
          <w:sz w:val="14"/>
          <w:szCs w:val="14"/>
          <w:b w:val="1"/>
          <w:bCs w:val="1"/>
          <w:u w:val="single" w:color="auto"/>
          <w:color w:val="auto"/>
        </w:rPr>
        <w:t>Stock Appreciation Right</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other terms of the Plan, the Committee may grant Stock Appreciation Rights to eligible individuals. Each Stock</w:t>
      </w:r>
      <w:r>
        <w:rPr>
          <w:rFonts w:ascii="Arial" w:cs="Arial" w:eastAsia="Arial" w:hAnsi="Arial"/>
          <w:sz w:val="14"/>
          <w:szCs w:val="14"/>
          <w:b w:val="1"/>
          <w:bCs w:val="1"/>
          <w:color w:val="auto"/>
        </w:rPr>
        <w:t xml:space="preserve"> </w:t>
      </w:r>
      <w:r>
        <w:rPr>
          <w:rFonts w:ascii="Arial" w:cs="Arial" w:eastAsia="Arial" w:hAnsi="Arial"/>
          <w:sz w:val="14"/>
          <w:szCs w:val="14"/>
          <w:color w:val="auto"/>
        </w:rPr>
        <w:t>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Award Agreement evidencing each Stock Appreciation Right shall indicate the base price, the term and the Vesting Conditions for such Award. A Stock Appreciation Right base price may never be less than the Fair Market Value of the underlying common stock of the Company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20"/>
          </w:cols>
          <w:pgMar w:left="300" w:top="750" w:right="379"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color w:val="auto"/>
        </w:rPr>
        <w:t xml:space="preserve">subject to the terms of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with respect to exercise upon or following termination of employment or other service.</w:t>
      </w:r>
    </w:p>
    <w:p>
      <w:pPr>
        <w:spacing w:after="0" w:line="178" w:lineRule="exact"/>
        <w:rPr>
          <w:sz w:val="20"/>
          <w:szCs w:val="20"/>
          <w:color w:val="auto"/>
        </w:rPr>
      </w:pPr>
    </w:p>
    <w:p>
      <w:pPr>
        <w:ind w:right="20" w:firstLine="1028"/>
        <w:spacing w:after="0" w:line="267" w:lineRule="auto"/>
        <w:rPr>
          <w:sz w:val="20"/>
          <w:szCs w:val="20"/>
          <w:color w:val="auto"/>
        </w:rPr>
      </w:pPr>
      <w:r>
        <w:rPr>
          <w:rFonts w:ascii="Arial" w:cs="Arial" w:eastAsia="Arial" w:hAnsi="Arial"/>
          <w:sz w:val="14"/>
          <w:szCs w:val="14"/>
          <w:b w:val="1"/>
          <w:bCs w:val="1"/>
          <w:color w:val="auto"/>
        </w:rPr>
        <w:t xml:space="preserve">Section 7. </w:t>
      </w:r>
      <w:r>
        <w:rPr>
          <w:rFonts w:ascii="Arial" w:cs="Arial" w:eastAsia="Arial" w:hAnsi="Arial"/>
          <w:sz w:val="14"/>
          <w:szCs w:val="14"/>
          <w:b w:val="1"/>
          <w:bCs w:val="1"/>
          <w:u w:val="single" w:color="auto"/>
          <w:color w:val="auto"/>
        </w:rPr>
        <w:t>Termination of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Unless otherwise specified with respect to a particular Option or Stock Appreciation Right in the applicable Award Agreement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Arial" w:cs="Arial" w:eastAsia="Arial" w:hAnsi="Arial"/>
          <w:sz w:val="14"/>
          <w:szCs w:val="14"/>
          <w:u w:val="single" w:color="auto"/>
          <w:color w:val="auto"/>
        </w:rPr>
        <w:t>Section 7</w:t>
      </w:r>
      <w:r>
        <w:rPr>
          <w:rFonts w:ascii="Arial" w:cs="Arial" w:eastAsia="Arial" w:hAnsi="Arial"/>
          <w:sz w:val="14"/>
          <w:szCs w:val="14"/>
          <w:color w:val="auto"/>
        </w:rPr>
        <w:t>.</w:t>
      </w:r>
    </w:p>
    <w:p>
      <w:pPr>
        <w:spacing w:after="0" w:line="144" w:lineRule="exact"/>
        <w:rPr>
          <w:sz w:val="20"/>
          <w:szCs w:val="20"/>
          <w:color w:val="auto"/>
        </w:rPr>
      </w:pPr>
    </w:p>
    <w:p>
      <w:pPr>
        <w:ind w:right="60" w:firstLine="1034"/>
        <w:spacing w:after="0" w:line="262" w:lineRule="auto"/>
        <w:tabs>
          <w:tab w:leader="none" w:pos="1615" w:val="left"/>
        </w:tabs>
        <w:numPr>
          <w:ilvl w:val="1"/>
          <w:numId w:val="232"/>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Death</w:t>
      </w:r>
      <w:r>
        <w:rPr>
          <w:rFonts w:ascii="Arial" w:cs="Arial" w:eastAsia="Arial" w:hAnsi="Arial"/>
          <w:sz w:val="14"/>
          <w:szCs w:val="14"/>
          <w:color w:val="auto"/>
        </w:rPr>
        <w:t>. If a Participant’s service with the Company or any Affiliate terminates by reason of death, any Option or Stock Appreciation Right held by such Participant may thereafter be exercised, to the extent it was exercisable at the time of his or her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49" w:lineRule="exact"/>
        <w:rPr>
          <w:rFonts w:ascii="Arial" w:cs="Arial" w:eastAsia="Arial" w:hAnsi="Arial"/>
          <w:sz w:val="14"/>
          <w:szCs w:val="14"/>
          <w:color w:val="auto"/>
        </w:rPr>
      </w:pPr>
    </w:p>
    <w:p>
      <w:pPr>
        <w:ind w:right="20" w:firstLine="1034"/>
        <w:spacing w:after="0" w:line="262" w:lineRule="auto"/>
        <w:tabs>
          <w:tab w:leader="none" w:pos="1623" w:val="left"/>
        </w:tabs>
        <w:numPr>
          <w:ilvl w:val="1"/>
          <w:numId w:val="232"/>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Disability</w:t>
      </w:r>
      <w:r>
        <w:rPr>
          <w:rFonts w:ascii="Arial" w:cs="Arial" w:eastAsia="Arial" w:hAnsi="Arial"/>
          <w:sz w:val="14"/>
          <w:szCs w:val="14"/>
          <w:color w:val="auto"/>
        </w:rPr>
        <w:t>. If a Participant’s service with the Company or any Affiliate terminates by reason of Disability, any Option or Stock Appreciation Right held by such Participant may thereafter be exercised by the Participant or his or her personal representative, to the extent it was exercisable at the time of termination, or on such accelerated basis as the Committee may determine at or after grant, for a 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49" w:lineRule="exact"/>
        <w:rPr>
          <w:rFonts w:ascii="Arial" w:cs="Arial" w:eastAsia="Arial" w:hAnsi="Arial"/>
          <w:sz w:val="14"/>
          <w:szCs w:val="14"/>
          <w:color w:val="auto"/>
        </w:rPr>
      </w:pPr>
    </w:p>
    <w:p>
      <w:pPr>
        <w:ind w:left="1620" w:hanging="586"/>
        <w:spacing w:after="0"/>
        <w:tabs>
          <w:tab w:leader="none" w:pos="1620" w:val="left"/>
        </w:tabs>
        <w:numPr>
          <w:ilvl w:val="1"/>
          <w:numId w:val="232"/>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If a Participant’s service with the Company or any Affiliate is terminated for Cause or if a Participant resigns at a time that there was a Cause basis for such</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Participant’s termination: (i) any Option or Stock Appreciation Right, or portion thereof, not already exercised will be immediately and automatically forfeited as of the date of such termination, and</w:t>
      </w:r>
    </w:p>
    <w:p>
      <w:pPr>
        <w:spacing w:after="0" w:line="21" w:lineRule="exact"/>
        <w:rPr>
          <w:rFonts w:ascii="Arial" w:cs="Arial" w:eastAsia="Arial" w:hAnsi="Arial"/>
          <w:sz w:val="13"/>
          <w:szCs w:val="13"/>
          <w:color w:val="auto"/>
        </w:rPr>
      </w:pPr>
    </w:p>
    <w:p>
      <w:pPr>
        <w:ind w:right="220" w:firstLine="6"/>
        <w:spacing w:after="0" w:line="270" w:lineRule="auto"/>
        <w:tabs>
          <w:tab w:leader="none" w:pos="21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any Shares for which the Company has not yet delivered share certificates will be immediately and automatically forfeited and the Company will refund to the Participant the Option exercise price paid for such Shares, if any.</w:t>
      </w:r>
    </w:p>
    <w:p>
      <w:pPr>
        <w:spacing w:after="0" w:line="141" w:lineRule="exact"/>
        <w:rPr>
          <w:rFonts w:ascii="Arial" w:cs="Arial" w:eastAsia="Arial" w:hAnsi="Arial"/>
          <w:sz w:val="14"/>
          <w:szCs w:val="14"/>
          <w:color w:val="auto"/>
        </w:rPr>
      </w:pPr>
    </w:p>
    <w:p>
      <w:pPr>
        <w:ind w:right="100" w:firstLine="1034"/>
        <w:spacing w:after="0" w:line="265" w:lineRule="auto"/>
        <w:tabs>
          <w:tab w:leader="none" w:pos="1623" w:val="left"/>
        </w:tabs>
        <w:numPr>
          <w:ilvl w:val="1"/>
          <w:numId w:val="233"/>
        </w:numPr>
        <w:rPr>
          <w:rFonts w:ascii="Arial" w:cs="Arial" w:eastAsia="Arial" w:hAnsi="Arial"/>
          <w:sz w:val="14"/>
          <w:szCs w:val="14"/>
          <w:color w:val="auto"/>
        </w:rPr>
      </w:pPr>
      <w:r>
        <w:rPr>
          <w:rFonts w:ascii="Arial" w:cs="Arial" w:eastAsia="Arial" w:hAnsi="Arial"/>
          <w:sz w:val="14"/>
          <w:szCs w:val="14"/>
          <w:u w:val="single" w:color="auto"/>
          <w:color w:val="auto"/>
        </w:rPr>
        <w:t>Other Termination</w:t>
      </w:r>
      <w:r>
        <w:rPr>
          <w:rFonts w:ascii="Arial" w:cs="Arial" w:eastAsia="Arial" w:hAnsi="Arial"/>
          <w:sz w:val="14"/>
          <w:szCs w:val="14"/>
          <w:color w:val="auto"/>
        </w:rPr>
        <w:t>. If a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w:t>
      </w: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color w:val="auto"/>
        </w:rPr>
        <w:t>under (i) or (ii) above, upon the expiration of the stated term of such Option or Stock Appreciation Right.</w:t>
      </w:r>
    </w:p>
    <w:p>
      <w:pPr>
        <w:spacing w:after="0" w:line="178" w:lineRule="exact"/>
        <w:rPr>
          <w:sz w:val="20"/>
          <w:szCs w:val="20"/>
          <w:color w:val="auto"/>
        </w:rPr>
      </w:pPr>
    </w:p>
    <w:p>
      <w:pPr>
        <w:ind w:left="1040"/>
        <w:spacing w:after="0"/>
        <w:tabs>
          <w:tab w:leader="none" w:pos="182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2"/>
          <w:szCs w:val="12"/>
          <w:b w:val="1"/>
          <w:bCs w:val="1"/>
          <w:u w:val="single" w:color="auto"/>
          <w:color w:val="auto"/>
        </w:rPr>
        <w:t>Restricted Stock</w:t>
      </w:r>
      <w:r>
        <w:rPr>
          <w:rFonts w:ascii="Arial" w:cs="Arial" w:eastAsia="Arial" w:hAnsi="Arial"/>
          <w:sz w:val="12"/>
          <w:szCs w:val="12"/>
          <w:b w:val="1"/>
          <w:bCs w:val="1"/>
          <w:color w:val="auto"/>
        </w:rPr>
        <w:t>.</w:t>
      </w:r>
    </w:p>
    <w:p>
      <w:pPr>
        <w:spacing w:after="0" w:line="186" w:lineRule="exact"/>
        <w:rPr>
          <w:sz w:val="20"/>
          <w:szCs w:val="20"/>
          <w:color w:val="auto"/>
        </w:rPr>
      </w:pPr>
    </w:p>
    <w:p>
      <w:pPr>
        <w:ind w:right="300" w:firstLine="1034"/>
        <w:spacing w:after="0" w:line="285" w:lineRule="auto"/>
        <w:tabs>
          <w:tab w:leader="none" w:pos="1579"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Issuance</w:t>
      </w:r>
      <w:r>
        <w:rPr>
          <w:rFonts w:ascii="Arial" w:cs="Arial" w:eastAsia="Arial" w:hAnsi="Arial"/>
          <w:sz w:val="14"/>
          <w:szCs w:val="14"/>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31" w:lineRule="exact"/>
        <w:rPr>
          <w:rFonts w:ascii="Arial" w:cs="Arial" w:eastAsia="Arial" w:hAnsi="Arial"/>
          <w:sz w:val="14"/>
          <w:szCs w:val="14"/>
          <w:color w:val="auto"/>
        </w:rPr>
      </w:pPr>
    </w:p>
    <w:p>
      <w:pPr>
        <w:ind w:right="80" w:firstLine="1034"/>
        <w:spacing w:after="0" w:line="287" w:lineRule="auto"/>
        <w:tabs>
          <w:tab w:leader="none" w:pos="1587" w:val="left"/>
        </w:tabs>
        <w:numPr>
          <w:ilvl w:val="0"/>
          <w:numId w:val="234"/>
        </w:numPr>
        <w:rPr>
          <w:rFonts w:ascii="Arial" w:cs="Arial" w:eastAsia="Arial" w:hAnsi="Arial"/>
          <w:sz w:val="13"/>
          <w:szCs w:val="13"/>
          <w:color w:val="auto"/>
        </w:rPr>
      </w:pPr>
      <w:r>
        <w:rPr>
          <w:rFonts w:ascii="Arial" w:cs="Arial" w:eastAsia="Arial" w:hAnsi="Arial"/>
          <w:sz w:val="13"/>
          <w:szCs w:val="13"/>
          <w:u w:val="single" w:color="auto"/>
          <w:color w:val="auto"/>
        </w:rPr>
        <w:t>Certificates</w:t>
      </w:r>
      <w:r>
        <w:rPr>
          <w:rFonts w:ascii="Arial" w:cs="Arial" w:eastAsia="Arial" w:hAnsi="Arial"/>
          <w:sz w:val="13"/>
          <w:szCs w:val="13"/>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34" w:lineRule="exact"/>
        <w:rPr>
          <w:rFonts w:ascii="Arial" w:cs="Arial" w:eastAsia="Arial" w:hAnsi="Arial"/>
          <w:sz w:val="13"/>
          <w:szCs w:val="13"/>
          <w:color w:val="auto"/>
        </w:rPr>
      </w:pPr>
    </w:p>
    <w:p>
      <w:pPr>
        <w:ind w:right="20" w:firstLine="1034"/>
        <w:spacing w:after="0" w:line="285" w:lineRule="auto"/>
        <w:tabs>
          <w:tab w:leader="none" w:pos="1579"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Restrictions and Conditions</w:t>
      </w:r>
      <w:r>
        <w:rPr>
          <w:rFonts w:ascii="Arial" w:cs="Arial" w:eastAsia="Arial" w:hAnsi="Arial"/>
          <w:sz w:val="14"/>
          <w:szCs w:val="14"/>
          <w:color w:val="auto"/>
        </w:rPr>
        <w:t>. The Award Agreement evidencing the grant of any Restricted Stock will incorporate the following terms and conditions and such additional terms and conditions, not inconsistent with the terms of the Plan, as the Committee deems appropriate in its sole and absolute discretion:</w:t>
      </w:r>
    </w:p>
    <w:p>
      <w:pPr>
        <w:spacing w:after="0" w:line="131" w:lineRule="exact"/>
        <w:rPr>
          <w:rFonts w:ascii="Arial" w:cs="Arial" w:eastAsia="Arial" w:hAnsi="Arial"/>
          <w:sz w:val="14"/>
          <w:szCs w:val="14"/>
          <w:color w:val="auto"/>
        </w:rPr>
      </w:pPr>
    </w:p>
    <w:p>
      <w:pPr>
        <w:jc w:val="both"/>
        <w:ind w:left="520" w:right="160" w:firstLine="1028"/>
        <w:spacing w:after="0" w:line="270" w:lineRule="auto"/>
        <w:tabs>
          <w:tab w:leader="none" w:pos="2111" w:val="left"/>
        </w:tabs>
        <w:numPr>
          <w:ilvl w:val="1"/>
          <w:numId w:val="234"/>
        </w:numPr>
        <w:rPr>
          <w:rFonts w:ascii="Arial" w:cs="Arial" w:eastAsia="Arial" w:hAnsi="Arial"/>
          <w:sz w:val="14"/>
          <w:szCs w:val="14"/>
          <w:color w:val="auto"/>
        </w:rPr>
      </w:pPr>
      <w:r>
        <w:rPr>
          <w:rFonts w:ascii="Arial" w:cs="Arial" w:eastAsia="Arial" w:hAnsi="Arial"/>
          <w:sz w:val="14"/>
          <w:szCs w:val="14"/>
          <w:color w:val="auto"/>
        </w:rPr>
        <w:t>During a period commencing with the date of an Award of Restricted Stock and ending at such time or times as specified by the Committee (the “</w:t>
      </w:r>
      <w:r>
        <w:rPr>
          <w:rFonts w:ascii="Arial" w:cs="Arial" w:eastAsia="Arial" w:hAnsi="Arial"/>
          <w:sz w:val="14"/>
          <w:szCs w:val="14"/>
          <w:u w:val="single" w:color="auto"/>
          <w:color w:val="auto"/>
        </w:rPr>
        <w:t>Restriction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142" w:lineRule="exact"/>
        <w:rPr>
          <w:rFonts w:ascii="Arial" w:cs="Arial" w:eastAsia="Arial" w:hAnsi="Arial"/>
          <w:sz w:val="14"/>
          <w:szCs w:val="14"/>
          <w:color w:val="auto"/>
        </w:rPr>
      </w:pPr>
    </w:p>
    <w:p>
      <w:pPr>
        <w:ind w:left="520" w:firstLine="1028"/>
        <w:spacing w:after="0" w:line="261" w:lineRule="auto"/>
        <w:tabs>
          <w:tab w:leader="none" w:pos="2151" w:val="left"/>
        </w:tabs>
        <w:numPr>
          <w:ilvl w:val="1"/>
          <w:numId w:val="234"/>
        </w:numPr>
        <w:rPr>
          <w:rFonts w:ascii="Arial" w:cs="Arial" w:eastAsia="Arial" w:hAnsi="Arial"/>
          <w:sz w:val="14"/>
          <w:szCs w:val="14"/>
          <w:color w:val="auto"/>
        </w:rPr>
      </w:pPr>
      <w:r>
        <w:rPr>
          <w:rFonts w:ascii="Arial" w:cs="Arial" w:eastAsia="Arial" w:hAnsi="Arial"/>
          <w:sz w:val="14"/>
          <w:szCs w:val="14"/>
          <w:color w:val="auto"/>
        </w:rPr>
        <w:t xml:space="preserve">While any Share of Restricted Stock remains subject to restriction, the Participant will have, with respect to the Restricted Stock, the right to vote the Shares. If any cash distributions or dividends are payable with respect to the Restricted Stock, the Committee, in its sole discretion, may require the cash distributions or dividends to be subjected to the same Restriction Period as is applicable to the Restricted Stock with respect to which such amounts are paid, or, if the Committee so determines, reinvested in additional Restricted Stock to the extent Shares are available under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of the Plan. A Participant shall not be entitled to interest with respect to any dividends or distributions subjected to the Restriction Period. Any distributions or dividends paid in the form of securities with respect to Restricted Stock will be subject to the same terms and conditions as the Restricted Stock with respect to which they were paid, including, without limitation, the same Restriction Period.</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374" w:name="page375"/>
    <w:bookmarkEnd w:id="374"/>
    <w:p>
      <w:pPr>
        <w:jc w:val="both"/>
        <w:ind w:left="520" w:firstLine="1028"/>
        <w:spacing w:after="0" w:line="325" w:lineRule="auto"/>
        <w:tabs>
          <w:tab w:leader="none" w:pos="219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Subject to the provisions of the applicable Award Agreement or as otherwise determined by the Committee, if a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05" w:lineRule="exact"/>
        <w:rPr>
          <w:sz w:val="20"/>
          <w:szCs w:val="20"/>
          <w:color w:val="auto"/>
        </w:rPr>
      </w:pPr>
    </w:p>
    <w:p>
      <w:pPr>
        <w:ind w:firstLine="1028"/>
        <w:spacing w:after="0" w:line="260" w:lineRule="auto"/>
        <w:rPr>
          <w:sz w:val="20"/>
          <w:szCs w:val="20"/>
          <w:color w:val="auto"/>
        </w:rPr>
      </w:pPr>
      <w:r>
        <w:rPr>
          <w:rFonts w:ascii="Arial" w:cs="Arial" w:eastAsia="Arial" w:hAnsi="Arial"/>
          <w:sz w:val="14"/>
          <w:szCs w:val="14"/>
          <w:b w:val="1"/>
          <w:bCs w:val="1"/>
          <w:color w:val="auto"/>
        </w:rPr>
        <w:t xml:space="preserve">Section 9. </w:t>
      </w:r>
      <w:r>
        <w:rPr>
          <w:rFonts w:ascii="Arial" w:cs="Arial" w:eastAsia="Arial" w:hAnsi="Arial"/>
          <w:sz w:val="14"/>
          <w:szCs w:val="14"/>
          <w:b w:val="1"/>
          <w:bCs w:val="1"/>
          <w:u w:val="single" w:color="auto"/>
          <w:color w:val="auto"/>
        </w:rPr>
        <w:t>Restricted Stock Units</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other terms of the Plan, the Committee may grant Restricted Stock Units to eligible individuals and may impose one or more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Vesting Conditions on such units. Each Restricted Stock Unit will represent a right to receive from the Company, upon fulfillment of any applicable conditions, an amount equal to the Fair Market Value (at the time of the distribution). Distributions may be made in cash, Shares, or a combination of both, at the discretion of the Committee. The Award Agreement evidencing a Restricted Stock Unit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 Award Agreement may provide for the inclusion of dividend equivalent payments or unit credits with respect to the Award in the discretion of the Committee. Subject to the provisions of the applicable Award Agreement or as otherwise determined by the Committee, if a Participant’s service with the Company terminates prior to the Restricted Stock Unit Award vesting in full, any portion of the Participant’s Restricted Stock Units that then remain subject to forfeiture will then be forfeited automatically.</w:t>
      </w:r>
    </w:p>
    <w:p>
      <w:pPr>
        <w:spacing w:after="0" w:line="147" w:lineRule="exact"/>
        <w:rPr>
          <w:sz w:val="20"/>
          <w:szCs w:val="20"/>
          <w:color w:val="auto"/>
        </w:rPr>
      </w:pPr>
    </w:p>
    <w:p>
      <w:pPr>
        <w:ind w:firstLine="1028"/>
        <w:spacing w:after="0" w:line="294" w:lineRule="auto"/>
        <w:rPr>
          <w:sz w:val="20"/>
          <w:szCs w:val="20"/>
          <w:color w:val="auto"/>
        </w:rPr>
      </w:pPr>
      <w:r>
        <w:rPr>
          <w:rFonts w:ascii="Arial" w:cs="Arial" w:eastAsia="Arial" w:hAnsi="Arial"/>
          <w:sz w:val="13"/>
          <w:szCs w:val="13"/>
          <w:b w:val="1"/>
          <w:bCs w:val="1"/>
          <w:color w:val="auto"/>
        </w:rPr>
        <w:t xml:space="preserve">Section 10. </w:t>
      </w:r>
      <w:r>
        <w:rPr>
          <w:rFonts w:ascii="Arial" w:cs="Arial" w:eastAsia="Arial" w:hAnsi="Arial"/>
          <w:sz w:val="13"/>
          <w:szCs w:val="13"/>
          <w:b w:val="1"/>
          <w:bCs w:val="1"/>
          <w:u w:val="single" w:color="auto"/>
          <w:color w:val="auto"/>
        </w:rPr>
        <w:t>Cash or Other Stock Based Awards</w:t>
      </w:r>
      <w:r>
        <w:rPr>
          <w:rFonts w:ascii="Arial" w:cs="Arial" w:eastAsia="Arial" w:hAnsi="Arial"/>
          <w:sz w:val="13"/>
          <w:szCs w:val="13"/>
          <w:color w:val="auto"/>
        </w:rPr>
        <w:t>. Subject to the other terms of the Plan, the Committee may grant Cash or Other Stock Based Awards (including Awards to</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unrestricted Shares or immediate cash payments) to eligible individuals. The Award Agreement evidencing a Cash or Other Stock Based Award shall set forth the terms and conditions of such Cash or Other Stock Based Award, including, as applicable, the term, any exercise or purchase price, performance goals, Vesting Conditions and other terms and conditions. Payment in respect of a Cash or Other Stock Based Award may be made in cash, Shares, or a combination of cash and Shares, as determined by the Committee.</w:t>
      </w:r>
    </w:p>
    <w:p>
      <w:pPr>
        <w:spacing w:after="0" w:line="124" w:lineRule="exact"/>
        <w:rPr>
          <w:sz w:val="20"/>
          <w:szCs w:val="20"/>
          <w:color w:val="auto"/>
        </w:rPr>
      </w:pPr>
    </w:p>
    <w:p>
      <w:pPr>
        <w:ind w:right="140" w:firstLine="1028"/>
        <w:spacing w:after="0" w:line="291" w:lineRule="auto"/>
        <w:rPr>
          <w:sz w:val="20"/>
          <w:szCs w:val="20"/>
          <w:color w:val="auto"/>
        </w:rPr>
      </w:pPr>
      <w:r>
        <w:rPr>
          <w:rFonts w:ascii="Arial" w:cs="Arial" w:eastAsia="Arial" w:hAnsi="Arial"/>
          <w:sz w:val="14"/>
          <w:szCs w:val="14"/>
          <w:b w:val="1"/>
          <w:bCs w:val="1"/>
          <w:color w:val="auto"/>
        </w:rPr>
        <w:t xml:space="preserve">Section 11. </w:t>
      </w:r>
      <w:r>
        <w:rPr>
          <w:rFonts w:ascii="Arial" w:cs="Arial" w:eastAsia="Arial" w:hAnsi="Arial"/>
          <w:sz w:val="14"/>
          <w:szCs w:val="14"/>
          <w:b w:val="1"/>
          <w:bCs w:val="1"/>
          <w:u w:val="single" w:color="auto"/>
          <w:color w:val="auto"/>
        </w:rPr>
        <w:t>Amendments and 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any stockholder approval that may be required under Applicable Law, the Plan may be amended or terminated at any</w:t>
      </w:r>
      <w:r>
        <w:rPr>
          <w:rFonts w:ascii="Arial" w:cs="Arial" w:eastAsia="Arial" w:hAnsi="Arial"/>
          <w:sz w:val="14"/>
          <w:szCs w:val="14"/>
          <w:b w:val="1"/>
          <w:bCs w:val="1"/>
          <w:color w:val="auto"/>
        </w:rPr>
        <w:t xml:space="preserve"> </w:t>
      </w:r>
      <w:r>
        <w:rPr>
          <w:rFonts w:ascii="Arial" w:cs="Arial" w:eastAsia="Arial" w:hAnsi="Arial"/>
          <w:sz w:val="14"/>
          <w:szCs w:val="14"/>
          <w:color w:val="auto"/>
        </w:rPr>
        <w:t>time or from time to time by the Board.</w:t>
      </w:r>
    </w:p>
    <w:p>
      <w:pPr>
        <w:spacing w:after="0" w:line="124" w:lineRule="exact"/>
        <w:rPr>
          <w:sz w:val="20"/>
          <w:szCs w:val="20"/>
          <w:color w:val="auto"/>
        </w:rPr>
      </w:pPr>
    </w:p>
    <w:p>
      <w:pPr>
        <w:ind w:left="1040"/>
        <w:spacing w:after="0"/>
        <w:tabs>
          <w:tab w:leader="none" w:pos="1880" w:val="left"/>
        </w:tabs>
        <w:rPr>
          <w:sz w:val="20"/>
          <w:szCs w:val="20"/>
          <w:color w:val="auto"/>
        </w:rPr>
      </w:pPr>
      <w:r>
        <w:rPr>
          <w:rFonts w:ascii="Arial" w:cs="Arial" w:eastAsia="Arial" w:hAnsi="Arial"/>
          <w:sz w:val="14"/>
          <w:szCs w:val="14"/>
          <w:b w:val="1"/>
          <w:bCs w:val="1"/>
          <w:color w:val="auto"/>
        </w:rPr>
        <w:t>Section 12.</w:t>
      </w:r>
      <w:r>
        <w:rPr>
          <w:sz w:val="20"/>
          <w:szCs w:val="20"/>
          <w:color w:val="auto"/>
        </w:rPr>
        <w:tab/>
      </w:r>
      <w:r>
        <w:rPr>
          <w:rFonts w:ascii="Arial" w:cs="Arial" w:eastAsia="Arial" w:hAnsi="Arial"/>
          <w:sz w:val="13"/>
          <w:szCs w:val="13"/>
          <w:b w:val="1"/>
          <w:bCs w:val="1"/>
          <w:u w:val="single" w:color="auto"/>
          <w:color w:val="auto"/>
        </w:rPr>
        <w:t>Repricing Permitted</w:t>
      </w:r>
      <w:r>
        <w:rPr>
          <w:rFonts w:ascii="Arial" w:cs="Arial" w:eastAsia="Arial" w:hAnsi="Arial"/>
          <w:sz w:val="13"/>
          <w:szCs w:val="13"/>
          <w:color w:val="auto"/>
        </w:rPr>
        <w:t>. The Committee in its discretion may reprice any outstanding Options or Stock Appreciation Rights. This may include, without limitation,</w:t>
      </w:r>
    </w:p>
    <w:p>
      <w:pPr>
        <w:spacing w:after="0" w:line="24" w:lineRule="exact"/>
        <w:rPr>
          <w:sz w:val="20"/>
          <w:szCs w:val="20"/>
          <w:color w:val="auto"/>
        </w:rPr>
      </w:pPr>
    </w:p>
    <w:p>
      <w:pPr>
        <w:jc w:val="both"/>
        <w:ind w:firstLine="6"/>
        <w:spacing w:after="0" w:line="260" w:lineRule="auto"/>
        <w:tabs>
          <w:tab w:leader="none" w:pos="17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implementing any cancellation/re-grant program pursuant to which outstanding Options or Stock Appreciation Rights under the Plan are cancelled and new Options or Stock Appreciation Rights are granted in replacement with a lower exercise or base price per share, (ii) cancelling outstanding Options or Stock Appreciation Rights under the Plan with exercise prices or base prices per share in excess of the then current Fair Market Value for consideration payable in equity securities of the Company or cash or (iii) otherwise directly reducing the exercise price or base price in effect for outstanding Options or Stock Appreciation Rights under the Plan.</w:t>
      </w:r>
    </w:p>
    <w:p>
      <w:pPr>
        <w:spacing w:after="0" w:line="145" w:lineRule="exact"/>
        <w:rPr>
          <w:sz w:val="20"/>
          <w:szCs w:val="20"/>
          <w:color w:val="auto"/>
        </w:rPr>
      </w:pPr>
    </w:p>
    <w:p>
      <w:pPr>
        <w:ind w:left="1040"/>
        <w:spacing w:after="0"/>
        <w:tabs>
          <w:tab w:leader="none" w:pos="1880" w:val="left"/>
        </w:tabs>
        <w:rPr>
          <w:sz w:val="20"/>
          <w:szCs w:val="20"/>
          <w:color w:val="auto"/>
        </w:rPr>
      </w:pPr>
      <w:r>
        <w:rPr>
          <w:rFonts w:ascii="Arial" w:cs="Arial" w:eastAsia="Arial" w:hAnsi="Arial"/>
          <w:sz w:val="14"/>
          <w:szCs w:val="14"/>
          <w:b w:val="1"/>
          <w:bCs w:val="1"/>
          <w:color w:val="auto"/>
        </w:rPr>
        <w:t>Section 13.</w:t>
      </w:r>
      <w:r>
        <w:rPr>
          <w:sz w:val="20"/>
          <w:szCs w:val="20"/>
          <w:color w:val="auto"/>
        </w:rPr>
        <w:tab/>
      </w:r>
      <w:r>
        <w:rPr>
          <w:rFonts w:ascii="Arial" w:cs="Arial" w:eastAsia="Arial" w:hAnsi="Arial"/>
          <w:sz w:val="12"/>
          <w:szCs w:val="12"/>
          <w:b w:val="1"/>
          <w:bCs w:val="1"/>
          <w:u w:val="single" w:color="auto"/>
          <w:color w:val="auto"/>
        </w:rPr>
        <w:t>Conditions Upon Grant of Awards and Issuance of Shares</w:t>
      </w:r>
      <w:r>
        <w:rPr>
          <w:rFonts w:ascii="Arial" w:cs="Arial" w:eastAsia="Arial" w:hAnsi="Arial"/>
          <w:sz w:val="12"/>
          <w:szCs w:val="12"/>
          <w:b w:val="1"/>
          <w:bCs w:val="1"/>
          <w:color w:val="auto"/>
        </w:rPr>
        <w:t>.</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375" w:name="page376"/>
    <w:bookmarkEnd w:id="375"/>
    <w:p>
      <w:pPr>
        <w:ind w:right="20" w:firstLine="1034"/>
        <w:spacing w:after="0" w:line="270" w:lineRule="auto"/>
        <w:tabs>
          <w:tab w:leader="none" w:pos="1615" w:val="left"/>
        </w:tabs>
        <w:numPr>
          <w:ilvl w:val="0"/>
          <w:numId w:val="237"/>
        </w:numPr>
        <w:rPr>
          <w:rFonts w:ascii="Arial" w:cs="Arial" w:eastAsia="Arial" w:hAnsi="Arial"/>
          <w:sz w:val="14"/>
          <w:szCs w:val="14"/>
          <w:color w:val="auto"/>
        </w:rPr>
      </w:pPr>
      <w:r>
        <w:rPr>
          <w:rFonts w:ascii="Arial" w:cs="Arial" w:eastAsia="Arial" w:hAnsi="Arial"/>
          <w:sz w:val="14"/>
          <w:szCs w:val="14"/>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42" w:lineRule="exact"/>
        <w:rPr>
          <w:rFonts w:ascii="Arial" w:cs="Arial" w:eastAsia="Arial" w:hAnsi="Arial"/>
          <w:sz w:val="14"/>
          <w:szCs w:val="14"/>
          <w:color w:val="auto"/>
        </w:rPr>
      </w:pPr>
    </w:p>
    <w:p>
      <w:pPr>
        <w:ind w:left="1620" w:hanging="586"/>
        <w:spacing w:after="0"/>
        <w:tabs>
          <w:tab w:leader="none" w:pos="162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No Shares or other assets shall be issued or delivered under the Plan unless and until there shall have been compliance with all applicable requirements of Applicable</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Law.</w:t>
      </w:r>
    </w:p>
    <w:p>
      <w:pPr>
        <w:spacing w:after="0" w:line="168" w:lineRule="exact"/>
        <w:rPr>
          <w:sz w:val="20"/>
          <w:szCs w:val="20"/>
          <w:color w:val="auto"/>
        </w:rPr>
      </w:pPr>
    </w:p>
    <w:p>
      <w:pPr>
        <w:ind w:right="20" w:firstLine="1028"/>
        <w:spacing w:after="0" w:line="281" w:lineRule="auto"/>
        <w:rPr>
          <w:sz w:val="20"/>
          <w:szCs w:val="20"/>
          <w:color w:val="auto"/>
        </w:rPr>
      </w:pPr>
      <w:r>
        <w:rPr>
          <w:rFonts w:ascii="Arial" w:cs="Arial" w:eastAsia="Arial" w:hAnsi="Arial"/>
          <w:sz w:val="13"/>
          <w:szCs w:val="13"/>
          <w:b w:val="1"/>
          <w:bCs w:val="1"/>
          <w:color w:val="auto"/>
        </w:rPr>
        <w:t xml:space="preserve">Section 14. </w:t>
      </w:r>
      <w:r>
        <w:rPr>
          <w:rFonts w:ascii="Arial" w:cs="Arial" w:eastAsia="Arial" w:hAnsi="Arial"/>
          <w:sz w:val="13"/>
          <w:szCs w:val="13"/>
          <w:b w:val="1"/>
          <w:bCs w:val="1"/>
          <w:u w:val="single" w:color="auto"/>
          <w:color w:val="auto"/>
        </w:rPr>
        <w:t>Limits on Transferability; Beneficiaries</w:t>
      </w:r>
      <w:r>
        <w:rPr>
          <w:rFonts w:ascii="Arial" w:cs="Arial" w:eastAsia="Arial" w:hAnsi="Arial"/>
          <w:sz w:val="13"/>
          <w:szCs w:val="13"/>
          <w:color w:val="auto"/>
        </w:rPr>
        <w:t>. No Award or other right or interest of a Participant under the Plan shall be pledged, encumbered, or hypothecated to, or</w:t>
      </w:r>
      <w:r>
        <w:rPr>
          <w:rFonts w:ascii="Arial" w:cs="Arial" w:eastAsia="Arial" w:hAnsi="Arial"/>
          <w:sz w:val="13"/>
          <w:szCs w:val="13"/>
          <w:b w:val="1"/>
          <w:bCs w:val="1"/>
          <w:color w:val="auto"/>
        </w:rPr>
        <w:t xml:space="preserve"> </w:t>
      </w:r>
      <w:r>
        <w:rPr>
          <w:rFonts w:ascii="Arial" w:cs="Arial" w:eastAsia="Arial" w:hAnsi="Arial"/>
          <w:sz w:val="13"/>
          <w:szCs w:val="13"/>
          <w:color w:val="auto"/>
        </w:rPr>
        <w:t>in favor of, or subject to any lien, obligation, or liability of such Participant to, any party, other than the Company, any Subsidiary or Affiliate, or assigned or transferred by such Participant other than by will or the laws of descent and distribution, and such Awards and rights shall be exercisable during the lifetime of the Participant only by the Participant or his or her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a Participant may, in the manner established by the Committee, designate a beneficiary (which may be a person or a trust) to exercise the rights of the Participant, and to receive any distribution, with respect to any Award upon the death of the Participant. A beneficiary, guardian, legal representative or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34" w:lineRule="exact"/>
        <w:rPr>
          <w:sz w:val="20"/>
          <w:szCs w:val="20"/>
          <w:color w:val="auto"/>
        </w:rPr>
      </w:pPr>
    </w:p>
    <w:p>
      <w:pPr>
        <w:ind w:firstLine="1028"/>
        <w:spacing w:after="0" w:line="262" w:lineRule="auto"/>
        <w:rPr>
          <w:sz w:val="20"/>
          <w:szCs w:val="20"/>
          <w:color w:val="auto"/>
        </w:rPr>
      </w:pPr>
      <w:r>
        <w:rPr>
          <w:rFonts w:ascii="Arial" w:cs="Arial" w:eastAsia="Arial" w:hAnsi="Arial"/>
          <w:sz w:val="14"/>
          <w:szCs w:val="14"/>
          <w:b w:val="1"/>
          <w:bCs w:val="1"/>
          <w:color w:val="auto"/>
        </w:rPr>
        <w:t xml:space="preserve">Section 15. </w:t>
      </w:r>
      <w:r>
        <w:rPr>
          <w:rFonts w:ascii="Arial" w:cs="Arial" w:eastAsia="Arial" w:hAnsi="Arial"/>
          <w:sz w:val="14"/>
          <w:szCs w:val="14"/>
          <w:b w:val="1"/>
          <w:bCs w:val="1"/>
          <w:u w:val="single" w:color="auto"/>
          <w:color w:val="auto"/>
        </w:rPr>
        <w:t>Withholding of Taxes</w:t>
      </w:r>
      <w:r>
        <w:rPr>
          <w:rFonts w:ascii="Arial" w:cs="Arial" w:eastAsia="Arial" w:hAnsi="Arial"/>
          <w:sz w:val="14"/>
          <w:szCs w:val="14"/>
          <w:color w:val="auto"/>
        </w:rPr>
        <w:t>. No later than the date as of which an amount first becomes includible in the gross income of the Participant for federal income tax purposes</w:t>
      </w:r>
      <w:r>
        <w:rPr>
          <w:rFonts w:ascii="Arial" w:cs="Arial" w:eastAsia="Arial" w:hAnsi="Arial"/>
          <w:sz w:val="14"/>
          <w:szCs w:val="14"/>
          <w:b w:val="1"/>
          <w:bCs w:val="1"/>
          <w:color w:val="auto"/>
        </w:rPr>
        <w:t xml:space="preserve"> </w:t>
      </w:r>
      <w:r>
        <w:rPr>
          <w:rFonts w:ascii="Arial" w:cs="Arial" w:eastAsia="Arial" w:hAnsi="Arial"/>
          <w:sz w:val="14"/>
          <w:szCs w:val="14"/>
          <w:color w:val="auto"/>
        </w:rPr>
        <w:t>with respect to any Award under the Plan, the Participant will pay to the Company, or make arrangements satisfactory to the Company regarding the payment of, any federal, state or local taxes of any kind required by law to be withheld with respect to such amount. To the extent authorized by the Committee, the required tax withholding may be satisfied by the withholding of Shares subject to the Award based on the Fair Market Value on the date of withholding,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45" w:lineRule="exact"/>
        <w:rPr>
          <w:sz w:val="20"/>
          <w:szCs w:val="20"/>
          <w:color w:val="auto"/>
        </w:rPr>
      </w:pPr>
    </w:p>
    <w:p>
      <w:pPr>
        <w:ind w:left="1040"/>
        <w:spacing w:after="0"/>
        <w:tabs>
          <w:tab w:leader="none" w:pos="1880" w:val="left"/>
        </w:tabs>
        <w:rPr>
          <w:sz w:val="20"/>
          <w:szCs w:val="20"/>
          <w:color w:val="auto"/>
        </w:rPr>
      </w:pPr>
      <w:r>
        <w:rPr>
          <w:rFonts w:ascii="Arial" w:cs="Arial" w:eastAsia="Arial" w:hAnsi="Arial"/>
          <w:sz w:val="14"/>
          <w:szCs w:val="14"/>
          <w:b w:val="1"/>
          <w:bCs w:val="1"/>
          <w:color w:val="auto"/>
        </w:rPr>
        <w:t>Section 16.</w:t>
      </w:r>
      <w:r>
        <w:rPr>
          <w:sz w:val="20"/>
          <w:szCs w:val="20"/>
          <w:color w:val="auto"/>
        </w:rPr>
        <w:tab/>
      </w:r>
      <w:r>
        <w:rPr>
          <w:rFonts w:ascii="Arial" w:cs="Arial" w:eastAsia="Arial" w:hAnsi="Arial"/>
          <w:sz w:val="13"/>
          <w:szCs w:val="13"/>
          <w:b w:val="1"/>
          <w:bCs w:val="1"/>
          <w:u w:val="single" w:color="auto"/>
          <w:color w:val="auto"/>
        </w:rPr>
        <w:t>Liability of Company</w:t>
      </w:r>
      <w:r>
        <w:rPr>
          <w:rFonts w:ascii="Arial" w:cs="Arial" w:eastAsia="Arial" w:hAnsi="Arial"/>
          <w:sz w:val="13"/>
          <w:szCs w:val="13"/>
          <w:b w:val="1"/>
          <w:bCs w:val="1"/>
          <w:color w:val="auto"/>
        </w:rPr>
        <w:t>.</w:t>
      </w:r>
    </w:p>
    <w:p>
      <w:pPr>
        <w:spacing w:after="0" w:line="186" w:lineRule="exact"/>
        <w:rPr>
          <w:sz w:val="20"/>
          <w:szCs w:val="20"/>
          <w:color w:val="auto"/>
        </w:rPr>
      </w:pPr>
    </w:p>
    <w:p>
      <w:pPr>
        <w:ind w:left="5500" w:right="80" w:hanging="4466"/>
        <w:spacing w:after="0" w:line="796" w:lineRule="auto"/>
        <w:tabs>
          <w:tab w:leader="none" w:pos="1613"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Inability to Obtain Authority</w:t>
      </w:r>
      <w:r>
        <w:rPr>
          <w:rFonts w:ascii="Arial" w:cs="Arial" w:eastAsia="Arial" w:hAnsi="Arial"/>
          <w:sz w:val="14"/>
          <w:szCs w:val="14"/>
          <w:color w:val="auto"/>
        </w:rPr>
        <w:t>. If the Company cannot, by the exercise of commercially reasonable efforts, obtain authority from any regulatory body having jurisdiction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716089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376" w:name="page377"/>
    <w:bookmarkEnd w:id="376"/>
    <w:p>
      <w:pPr>
        <w:ind w:right="400"/>
        <w:spacing w:after="0" w:line="285" w:lineRule="auto"/>
        <w:rPr>
          <w:sz w:val="20"/>
          <w:szCs w:val="20"/>
          <w:color w:val="auto"/>
        </w:rPr>
      </w:pPr>
      <w:r>
        <w:rPr>
          <w:rFonts w:ascii="Arial" w:cs="Arial" w:eastAsia="Arial" w:hAnsi="Arial"/>
          <w:sz w:val="14"/>
          <w:szCs w:val="14"/>
          <w:color w:val="auto"/>
        </w:rPr>
        <w:t>for the sale of any Shares under this Plan, and such authority is deemed by the Company’s counsel to be necessary to the lawful issuance of those Shares, the Company will be relieved of any liability for failing to issue or sell those Shares.</w:t>
      </w:r>
    </w:p>
    <w:p>
      <w:pPr>
        <w:spacing w:after="0" w:line="132" w:lineRule="exact"/>
        <w:rPr>
          <w:sz w:val="20"/>
          <w:szCs w:val="20"/>
          <w:color w:val="auto"/>
        </w:rPr>
      </w:pPr>
    </w:p>
    <w:p>
      <w:pPr>
        <w:jc w:val="both"/>
        <w:ind w:right="160" w:firstLine="1034"/>
        <w:spacing w:after="0" w:line="270" w:lineRule="auto"/>
        <w:tabs>
          <w:tab w:leader="none" w:pos="1623"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Rights of Participants and Beneficiaries</w:t>
      </w:r>
      <w:r>
        <w:rPr>
          <w:rFonts w:ascii="Arial" w:cs="Arial" w:eastAsia="Arial" w:hAnsi="Arial"/>
          <w:sz w:val="14"/>
          <w:szCs w:val="14"/>
          <w:color w:val="auto"/>
        </w:rPr>
        <w:t>. The Company will pay all amounts payable under this Plan only to the applicable Participant, or beneficiaries entitled thereto pursuant to this Plan. The Company will not be liable for the debts, contracts, or engagements of any Participant or his or her beneficiaries, and rights to cash payments under this Plan may not be taken in execution by attachment or garnishment, or by any other legal or equitable proceeding while in the hands of the Company.</w:t>
      </w:r>
    </w:p>
    <w:p>
      <w:pPr>
        <w:spacing w:after="0" w:line="138" w:lineRule="exact"/>
        <w:rPr>
          <w:sz w:val="20"/>
          <w:szCs w:val="20"/>
          <w:color w:val="auto"/>
        </w:rPr>
      </w:pPr>
    </w:p>
    <w:p>
      <w:pPr>
        <w:ind w:left="1040"/>
        <w:spacing w:after="0"/>
        <w:tabs>
          <w:tab w:leader="none" w:pos="1880" w:val="left"/>
        </w:tabs>
        <w:rPr>
          <w:sz w:val="20"/>
          <w:szCs w:val="20"/>
          <w:color w:val="auto"/>
        </w:rPr>
      </w:pPr>
      <w:r>
        <w:rPr>
          <w:rFonts w:ascii="Arial" w:cs="Arial" w:eastAsia="Arial" w:hAnsi="Arial"/>
          <w:sz w:val="14"/>
          <w:szCs w:val="14"/>
          <w:b w:val="1"/>
          <w:bCs w:val="1"/>
          <w:color w:val="auto"/>
        </w:rPr>
        <w:t>Section 17.</w:t>
      </w:r>
      <w:r>
        <w:rPr>
          <w:sz w:val="20"/>
          <w:szCs w:val="20"/>
          <w:color w:val="auto"/>
        </w:rPr>
        <w:tab/>
      </w:r>
      <w:r>
        <w:rPr>
          <w:rFonts w:ascii="Arial" w:cs="Arial" w:eastAsia="Arial" w:hAnsi="Arial"/>
          <w:sz w:val="12"/>
          <w:szCs w:val="12"/>
          <w:b w:val="1"/>
          <w:bCs w:val="1"/>
          <w:u w:val="single" w:color="auto"/>
          <w:color w:val="auto"/>
        </w:rPr>
        <w:t>General Provisions</w:t>
      </w:r>
      <w:r>
        <w:rPr>
          <w:rFonts w:ascii="Arial" w:cs="Arial" w:eastAsia="Arial" w:hAnsi="Arial"/>
          <w:sz w:val="12"/>
          <w:szCs w:val="12"/>
          <w:b w:val="1"/>
          <w:bCs w:val="1"/>
          <w:color w:val="auto"/>
        </w:rPr>
        <w:t>.</w:t>
      </w:r>
    </w:p>
    <w:p>
      <w:pPr>
        <w:spacing w:after="0" w:line="186" w:lineRule="exact"/>
        <w:rPr>
          <w:sz w:val="20"/>
          <w:szCs w:val="20"/>
          <w:color w:val="auto"/>
        </w:rPr>
      </w:pPr>
    </w:p>
    <w:p>
      <w:pPr>
        <w:ind w:right="420" w:firstLine="1034"/>
        <w:spacing w:after="0" w:line="285" w:lineRule="auto"/>
        <w:tabs>
          <w:tab w:leader="none" w:pos="1615" w:val="left"/>
        </w:tabs>
        <w:numPr>
          <w:ilvl w:val="0"/>
          <w:numId w:val="240"/>
        </w:numPr>
        <w:rPr>
          <w:rFonts w:ascii="Arial" w:cs="Arial" w:eastAsia="Arial" w:hAnsi="Arial"/>
          <w:sz w:val="14"/>
          <w:szCs w:val="14"/>
          <w:color w:val="auto"/>
        </w:rPr>
      </w:pPr>
      <w:r>
        <w:rPr>
          <w:rFonts w:ascii="Arial" w:cs="Arial" w:eastAsia="Arial" w:hAnsi="Arial"/>
          <w:sz w:val="14"/>
          <w:szCs w:val="14"/>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31" w:lineRule="exact"/>
        <w:rPr>
          <w:rFonts w:ascii="Arial" w:cs="Arial" w:eastAsia="Arial" w:hAnsi="Arial"/>
          <w:sz w:val="14"/>
          <w:szCs w:val="14"/>
          <w:color w:val="auto"/>
        </w:rPr>
      </w:pPr>
    </w:p>
    <w:p>
      <w:pPr>
        <w:ind w:left="1620" w:hanging="586"/>
        <w:spacing w:after="0"/>
        <w:tabs>
          <w:tab w:leader="none" w:pos="1620" w:val="left"/>
        </w:tabs>
        <w:numPr>
          <w:ilvl w:val="0"/>
          <w:numId w:val="240"/>
        </w:numPr>
        <w:rPr>
          <w:rFonts w:ascii="Arial" w:cs="Arial" w:eastAsia="Arial" w:hAnsi="Arial"/>
          <w:sz w:val="14"/>
          <w:szCs w:val="14"/>
          <w:color w:val="auto"/>
        </w:rPr>
      </w:pPr>
      <w:r>
        <w:rPr>
          <w:rFonts w:ascii="Arial" w:cs="Arial" w:eastAsia="Arial" w:hAnsi="Arial"/>
          <w:sz w:val="14"/>
          <w:szCs w:val="14"/>
          <w:color w:val="auto"/>
        </w:rPr>
        <w:t>The Awards shall be subject to the Company’s stock ownership policies, as in effect from time to time.</w:t>
      </w:r>
    </w:p>
    <w:p>
      <w:pPr>
        <w:spacing w:after="0" w:line="181" w:lineRule="exact"/>
        <w:rPr>
          <w:rFonts w:ascii="Arial" w:cs="Arial" w:eastAsia="Arial" w:hAnsi="Arial"/>
          <w:sz w:val="14"/>
          <w:szCs w:val="14"/>
          <w:color w:val="auto"/>
        </w:rPr>
      </w:pPr>
    </w:p>
    <w:p>
      <w:pPr>
        <w:ind w:right="80" w:firstLine="1034"/>
        <w:spacing w:after="0" w:line="270" w:lineRule="auto"/>
        <w:tabs>
          <w:tab w:leader="none" w:pos="1615" w:val="left"/>
        </w:tabs>
        <w:numPr>
          <w:ilvl w:val="0"/>
          <w:numId w:val="240"/>
        </w:numPr>
        <w:rPr>
          <w:rFonts w:ascii="Arial" w:cs="Arial" w:eastAsia="Arial" w:hAnsi="Arial"/>
          <w:sz w:val="14"/>
          <w:szCs w:val="14"/>
          <w:color w:val="auto"/>
        </w:rPr>
      </w:pPr>
      <w:r>
        <w:rPr>
          <w:rFonts w:ascii="Arial" w:cs="Arial" w:eastAsia="Arial" w:hAnsi="Arial"/>
          <w:sz w:val="14"/>
          <w:szCs w:val="14"/>
          <w:color w:val="auto"/>
        </w:rPr>
        <w:t>All certificates for Shares or other securities delivered under the Plan will be subject to such share-transfer orders and other restrictions as the Board may deem advisable under the rules, regulations and other requirements of the Securities Act of 1933, as amended, the Exchange Act, any stock exchange upon which the Shares are then listed, and any other Applicable Law, and the Board may cause a legend or legends to be put on any such certificates to make appropriate reference to such restrictions.</w:t>
      </w:r>
    </w:p>
    <w:p>
      <w:pPr>
        <w:spacing w:after="0" w:line="142" w:lineRule="exact"/>
        <w:rPr>
          <w:rFonts w:ascii="Arial" w:cs="Arial" w:eastAsia="Arial" w:hAnsi="Arial"/>
          <w:sz w:val="14"/>
          <w:szCs w:val="14"/>
          <w:color w:val="auto"/>
        </w:rPr>
      </w:pPr>
    </w:p>
    <w:p>
      <w:pPr>
        <w:ind w:left="1620" w:hanging="586"/>
        <w:spacing w:after="0"/>
        <w:tabs>
          <w:tab w:leader="none" w:pos="162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Nothing contained in the Plan will prevent the Company from adopting other or additional compensation arrangements, subject to stockholder approval if such approval</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is required.</w:t>
      </w:r>
    </w:p>
    <w:p>
      <w:pPr>
        <w:spacing w:after="0" w:line="171" w:lineRule="exact"/>
        <w:rPr>
          <w:rFonts w:ascii="Arial" w:cs="Arial" w:eastAsia="Arial" w:hAnsi="Arial"/>
          <w:sz w:val="13"/>
          <w:szCs w:val="13"/>
          <w:color w:val="auto"/>
        </w:rPr>
      </w:pPr>
    </w:p>
    <w:p>
      <w:pPr>
        <w:ind w:right="380" w:firstLine="1034"/>
        <w:spacing w:after="0" w:line="270" w:lineRule="auto"/>
        <w:tabs>
          <w:tab w:leader="none" w:pos="1615" w:val="left"/>
        </w:tabs>
        <w:numPr>
          <w:ilvl w:val="0"/>
          <w:numId w:val="240"/>
        </w:numPr>
        <w:rPr>
          <w:rFonts w:ascii="Arial" w:cs="Arial" w:eastAsia="Arial" w:hAnsi="Arial"/>
          <w:sz w:val="14"/>
          <w:szCs w:val="14"/>
          <w:color w:val="auto"/>
        </w:rPr>
      </w:pPr>
      <w:r>
        <w:rPr>
          <w:rFonts w:ascii="Arial" w:cs="Arial" w:eastAsia="Arial" w:hAnsi="Arial"/>
          <w:sz w:val="14"/>
          <w:szCs w:val="14"/>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 (ii) interfere in any way with the right of the Company or such Affiliate to terminate the employment or engagement of any of its employees or other service providers at any time.</w:t>
      </w:r>
    </w:p>
    <w:p>
      <w:pPr>
        <w:spacing w:after="0" w:line="142" w:lineRule="exact"/>
        <w:rPr>
          <w:rFonts w:ascii="Arial" w:cs="Arial" w:eastAsia="Arial" w:hAnsi="Arial"/>
          <w:sz w:val="14"/>
          <w:szCs w:val="14"/>
          <w:color w:val="auto"/>
        </w:rPr>
      </w:pPr>
    </w:p>
    <w:p>
      <w:pPr>
        <w:jc w:val="both"/>
        <w:ind w:firstLine="1034"/>
        <w:spacing w:after="0" w:line="300" w:lineRule="auto"/>
        <w:tabs>
          <w:tab w:leader="none" w:pos="1599" w:val="left"/>
        </w:tabs>
        <w:numPr>
          <w:ilvl w:val="0"/>
          <w:numId w:val="240"/>
        </w:numPr>
        <w:rPr>
          <w:rFonts w:ascii="Arial" w:cs="Arial" w:eastAsia="Arial" w:hAnsi="Arial"/>
          <w:sz w:val="13"/>
          <w:szCs w:val="13"/>
          <w:color w:val="auto"/>
        </w:rPr>
      </w:pPr>
      <w:r>
        <w:rPr>
          <w:rFonts w:ascii="Arial" w:cs="Arial" w:eastAsia="Arial" w:hAnsi="Arial"/>
          <w:sz w:val="13"/>
          <w:szCs w:val="13"/>
          <w:color w:val="auto"/>
        </w:rPr>
        <w:t>The Awards (whether vested or unvested) shall be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77" w:name="page378"/>
    <w:bookmarkEnd w:id="377"/>
    <w:p>
      <w:pPr>
        <w:ind w:right="160" w:firstLine="1028"/>
        <w:spacing w:after="0" w:line="291" w:lineRule="auto"/>
        <w:rPr>
          <w:sz w:val="20"/>
          <w:szCs w:val="20"/>
          <w:color w:val="auto"/>
        </w:rPr>
      </w:pPr>
      <w:r>
        <w:rPr>
          <w:rFonts w:ascii="Arial" w:cs="Arial" w:eastAsia="Arial" w:hAnsi="Arial"/>
          <w:sz w:val="14"/>
          <w:szCs w:val="14"/>
          <w:b w:val="1"/>
          <w:bCs w:val="1"/>
          <w:color w:val="auto"/>
        </w:rPr>
        <w:t xml:space="preserve">Section 18. </w:t>
      </w:r>
      <w:r>
        <w:rPr>
          <w:rFonts w:ascii="Arial" w:cs="Arial" w:eastAsia="Arial" w:hAnsi="Arial"/>
          <w:sz w:val="14"/>
          <w:szCs w:val="14"/>
          <w:b w:val="1"/>
          <w:bCs w:val="1"/>
          <w:u w:val="single" w:color="auto"/>
          <w:color w:val="auto"/>
        </w:rPr>
        <w:t>Effectiveness of Plan</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will become effective upon the execution of an underwriting agreement with respect to the Company’s initial public offering of</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(the “</w:t>
      </w:r>
      <w:r>
        <w:rPr>
          <w:rFonts w:ascii="Arial" w:cs="Arial" w:eastAsia="Arial" w:hAnsi="Arial"/>
          <w:sz w:val="14"/>
          <w:szCs w:val="14"/>
          <w:u w:val="single" w:color="auto"/>
          <w:color w:val="auto"/>
        </w:rPr>
        <w:t>Effective Time</w:t>
      </w:r>
      <w:r>
        <w:rPr>
          <w:rFonts w:ascii="Arial" w:cs="Arial" w:eastAsia="Arial" w:hAnsi="Arial"/>
          <w:sz w:val="14"/>
          <w:szCs w:val="14"/>
          <w:color w:val="auto"/>
        </w:rPr>
        <w:t>”).</w:t>
      </w:r>
    </w:p>
    <w:p>
      <w:pPr>
        <w:spacing w:after="0" w:line="124" w:lineRule="exact"/>
        <w:rPr>
          <w:sz w:val="20"/>
          <w:szCs w:val="20"/>
          <w:color w:val="auto"/>
        </w:rPr>
      </w:pPr>
    </w:p>
    <w:p>
      <w:pPr>
        <w:ind w:right="220" w:firstLine="1028"/>
        <w:spacing w:after="0" w:line="291" w:lineRule="auto"/>
        <w:rPr>
          <w:sz w:val="20"/>
          <w:szCs w:val="20"/>
          <w:color w:val="auto"/>
        </w:rPr>
      </w:pPr>
      <w:r>
        <w:rPr>
          <w:rFonts w:ascii="Arial" w:cs="Arial" w:eastAsia="Arial" w:hAnsi="Arial"/>
          <w:sz w:val="14"/>
          <w:szCs w:val="14"/>
          <w:b w:val="1"/>
          <w:bCs w:val="1"/>
          <w:color w:val="auto"/>
        </w:rPr>
        <w:t xml:space="preserve">Section 19. </w:t>
      </w:r>
      <w:r>
        <w:rPr>
          <w:rFonts w:ascii="Arial" w:cs="Arial" w:eastAsia="Arial" w:hAnsi="Arial"/>
          <w:sz w:val="14"/>
          <w:szCs w:val="14"/>
          <w:b w:val="1"/>
          <w:bCs w:val="1"/>
          <w:u w:val="single" w:color="auto"/>
          <w:color w:val="auto"/>
        </w:rPr>
        <w:t>Term of Plan</w:t>
      </w:r>
      <w:r>
        <w:rPr>
          <w:rFonts w:ascii="Arial" w:cs="Arial" w:eastAsia="Arial" w:hAnsi="Arial"/>
          <w:sz w:val="14"/>
          <w:szCs w:val="14"/>
          <w:b w:val="1"/>
          <w:bCs w:val="1"/>
          <w:color w:val="auto"/>
        </w:rPr>
        <w:t xml:space="preserve">. </w:t>
      </w:r>
      <w:r>
        <w:rPr>
          <w:rFonts w:ascii="Arial" w:cs="Arial" w:eastAsia="Arial" w:hAnsi="Arial"/>
          <w:sz w:val="14"/>
          <w:szCs w:val="14"/>
          <w:color w:val="auto"/>
        </w:rPr>
        <w:t>Unless the Plan shall theretofore have been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11</w:t>
      </w:r>
      <w:r>
        <w:rPr>
          <w:rFonts w:ascii="Arial" w:cs="Arial" w:eastAsia="Arial" w:hAnsi="Arial"/>
          <w:sz w:val="14"/>
          <w:szCs w:val="14"/>
          <w:color w:val="auto"/>
        </w:rPr>
        <w:t>, the Plan shall terminate on the 10-year anniversary of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Time, and no Awards under the Plan shall thereafter be granted.</w:t>
      </w:r>
    </w:p>
    <w:p>
      <w:pPr>
        <w:spacing w:after="0" w:line="124" w:lineRule="exact"/>
        <w:rPr>
          <w:sz w:val="20"/>
          <w:szCs w:val="20"/>
          <w:color w:val="auto"/>
        </w:rPr>
      </w:pPr>
    </w:p>
    <w:p>
      <w:pPr>
        <w:jc w:val="both"/>
        <w:ind w:right="180" w:firstLine="1028"/>
        <w:spacing w:after="0" w:line="273" w:lineRule="auto"/>
        <w:rPr>
          <w:sz w:val="20"/>
          <w:szCs w:val="20"/>
          <w:color w:val="auto"/>
        </w:rPr>
      </w:pPr>
      <w:r>
        <w:rPr>
          <w:rFonts w:ascii="Arial" w:cs="Arial" w:eastAsia="Arial" w:hAnsi="Arial"/>
          <w:sz w:val="14"/>
          <w:szCs w:val="14"/>
          <w:b w:val="1"/>
          <w:bCs w:val="1"/>
          <w:color w:val="auto"/>
        </w:rPr>
        <w:t xml:space="preserve">Section 20. </w:t>
      </w:r>
      <w:r>
        <w:rPr>
          <w:rFonts w:ascii="Arial" w:cs="Arial" w:eastAsia="Arial" w:hAnsi="Arial"/>
          <w:sz w:val="14"/>
          <w:szCs w:val="14"/>
          <w:b w:val="1"/>
          <w:bCs w:val="1"/>
          <w:u w:val="single" w:color="auto"/>
          <w:color w:val="auto"/>
        </w:rPr>
        <w:t>Invalid Provisions</w:t>
      </w:r>
      <w:r>
        <w:rPr>
          <w:rFonts w:ascii="Arial" w:cs="Arial" w:eastAsia="Arial" w:hAnsi="Arial"/>
          <w:sz w:val="14"/>
          <w:szCs w:val="14"/>
          <w:b w:val="1"/>
          <w:bCs w:val="1"/>
          <w:color w:val="auto"/>
        </w:rPr>
        <w:t xml:space="preserve">. </w:t>
      </w:r>
      <w:r>
        <w:rPr>
          <w:rFonts w:ascii="Arial" w:cs="Arial" w:eastAsia="Arial" w:hAnsi="Arial"/>
          <w:sz w:val="14"/>
          <w:szCs w:val="14"/>
          <w:color w:val="auto"/>
        </w:rPr>
        <w:t>In the event that any provision of this Plan is found to be invalid or otherwise unenforceable under any Applicable Law, such invalidity or</w:t>
      </w:r>
      <w:r>
        <w:rPr>
          <w:rFonts w:ascii="Arial" w:cs="Arial" w:eastAsia="Arial" w:hAnsi="Arial"/>
          <w:sz w:val="14"/>
          <w:szCs w:val="14"/>
          <w:b w:val="1"/>
          <w:bCs w:val="1"/>
          <w:color w:val="auto"/>
        </w:rPr>
        <w:t xml:space="preserve"> </w:t>
      </w:r>
      <w:r>
        <w:rPr>
          <w:rFonts w:ascii="Arial" w:cs="Arial" w:eastAsia="Arial" w:hAnsi="Arial"/>
          <w:sz w:val="14"/>
          <w:szCs w:val="14"/>
          <w:color w:val="auto"/>
        </w:rPr>
        <w:t>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36" w:lineRule="exact"/>
        <w:rPr>
          <w:sz w:val="20"/>
          <w:szCs w:val="20"/>
          <w:color w:val="auto"/>
        </w:rPr>
      </w:pPr>
    </w:p>
    <w:p>
      <w:pPr>
        <w:ind w:right="60" w:firstLine="1028"/>
        <w:spacing w:after="0" w:line="291" w:lineRule="auto"/>
        <w:rPr>
          <w:sz w:val="20"/>
          <w:szCs w:val="20"/>
          <w:color w:val="auto"/>
        </w:rPr>
      </w:pPr>
      <w:r>
        <w:rPr>
          <w:rFonts w:ascii="Arial" w:cs="Arial" w:eastAsia="Arial" w:hAnsi="Arial"/>
          <w:sz w:val="14"/>
          <w:szCs w:val="14"/>
          <w:b w:val="1"/>
          <w:bCs w:val="1"/>
          <w:color w:val="auto"/>
        </w:rPr>
        <w:t xml:space="preserve">Section 21. </w:t>
      </w:r>
      <w:r>
        <w:rPr>
          <w:rFonts w:ascii="Arial" w:cs="Arial" w:eastAsia="Arial" w:hAnsi="Arial"/>
          <w:sz w:val="14"/>
          <w:szCs w:val="14"/>
          <w:b w:val="1"/>
          <w:bCs w:val="1"/>
          <w:u w:val="single" w:color="auto"/>
          <w:color w:val="auto"/>
        </w:rPr>
        <w:t>Governing Law</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and all Awards granted hereunder will be governed by and construed in accordance with the laws and judicial decisions of the State of</w:t>
      </w:r>
      <w:r>
        <w:rPr>
          <w:rFonts w:ascii="Arial" w:cs="Arial" w:eastAsia="Arial" w:hAnsi="Arial"/>
          <w:sz w:val="14"/>
          <w:szCs w:val="14"/>
          <w:b w:val="1"/>
          <w:bCs w:val="1"/>
          <w:color w:val="auto"/>
        </w:rPr>
        <w:t xml:space="preserve"> </w:t>
      </w:r>
      <w:r>
        <w:rPr>
          <w:rFonts w:ascii="Arial" w:cs="Arial" w:eastAsia="Arial" w:hAnsi="Arial"/>
          <w:sz w:val="14"/>
          <w:szCs w:val="14"/>
          <w:color w:val="auto"/>
        </w:rPr>
        <w:t>Delaware, without regard to the application of the principles of conflicts of laws.</w:t>
      </w:r>
    </w:p>
    <w:p>
      <w:pPr>
        <w:spacing w:after="0" w:line="124" w:lineRule="exact"/>
        <w:rPr>
          <w:sz w:val="20"/>
          <w:szCs w:val="20"/>
          <w:color w:val="auto"/>
        </w:rPr>
      </w:pPr>
    </w:p>
    <w:p>
      <w:pPr>
        <w:jc w:val="both"/>
        <w:ind w:firstLine="1028"/>
        <w:spacing w:after="0" w:line="264" w:lineRule="auto"/>
        <w:rPr>
          <w:sz w:val="20"/>
          <w:szCs w:val="20"/>
          <w:color w:val="auto"/>
        </w:rPr>
      </w:pPr>
      <w:r>
        <w:rPr>
          <w:rFonts w:ascii="Arial" w:cs="Arial" w:eastAsia="Arial" w:hAnsi="Arial"/>
          <w:sz w:val="14"/>
          <w:szCs w:val="14"/>
          <w:b w:val="1"/>
          <w:bCs w:val="1"/>
          <w:color w:val="auto"/>
        </w:rPr>
        <w:t xml:space="preserve">Section 22. </w:t>
      </w: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Any notice to be given to the Company pursuant to the provisions of this Plan must be given in writing and addressed, if to the Company, to its principal</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 to the attention of its Chief Financial Officer (or such other Person as the Company may designate in writing from time to time), and, if to a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00"/>
          </w:cols>
          <w:pgMar w:left="300" w:top="746" w:right="399" w:bottom="1440" w:gutter="0" w:footer="0" w:header="0"/>
        </w:sectPr>
      </w:pPr>
    </w:p>
    <w:bookmarkStart w:id="378" w:name="page379"/>
    <w:bookmarkEnd w:id="378"/>
    <w:p>
      <w:pPr>
        <w:jc w:val="right"/>
        <w:spacing w:after="0"/>
        <w:rPr>
          <w:sz w:val="20"/>
          <w:szCs w:val="20"/>
          <w:color w:val="auto"/>
        </w:rPr>
      </w:pPr>
      <w:r>
        <w:rPr>
          <w:rFonts w:ascii="Arial" w:cs="Arial" w:eastAsia="Arial" w:hAnsi="Arial"/>
          <w:sz w:val="14"/>
          <w:szCs w:val="14"/>
          <w:b w:val="1"/>
          <w:bCs w:val="1"/>
          <w:color w:val="auto"/>
        </w:rPr>
        <w:t>Exhibit 10.9</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CENTURY THERAPEUTICS,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EMPLOYEE STOCK PURCHASE PLAN</w:t>
      </w:r>
    </w:p>
    <w:p>
      <w:pPr>
        <w:spacing w:after="0" w:line="186" w:lineRule="exact"/>
        <w:rPr>
          <w:sz w:val="20"/>
          <w:szCs w:val="20"/>
          <w:color w:val="auto"/>
        </w:rPr>
      </w:pPr>
    </w:p>
    <w:p>
      <w:pPr>
        <w:ind w:right="20" w:firstLine="6"/>
        <w:spacing w:after="0" w:line="270" w:lineRule="auto"/>
        <w:tabs>
          <w:tab w:leader="none" w:pos="535" w:val="left"/>
        </w:tabs>
        <w:numPr>
          <w:ilvl w:val="0"/>
          <w:numId w:val="241"/>
        </w:numPr>
        <w:rPr>
          <w:rFonts w:ascii="Arial" w:cs="Arial" w:eastAsia="Arial" w:hAnsi="Arial"/>
          <w:sz w:val="14"/>
          <w:szCs w:val="14"/>
          <w:color w:val="auto"/>
        </w:rPr>
      </w:pPr>
      <w:r>
        <w:rPr>
          <w:rFonts w:ascii="Arial" w:cs="Arial" w:eastAsia="Arial" w:hAnsi="Arial"/>
          <w:sz w:val="14"/>
          <w:szCs w:val="14"/>
          <w:u w:val="single" w:color="auto"/>
          <w:color w:val="auto"/>
        </w:rPr>
        <w:t>Purpose</w:t>
      </w:r>
      <w:r>
        <w:rPr>
          <w:rFonts w:ascii="Arial" w:cs="Arial" w:eastAsia="Arial" w:hAnsi="Arial"/>
          <w:sz w:val="14"/>
          <w:szCs w:val="14"/>
          <w:color w:val="auto"/>
        </w:rPr>
        <w:t>. The purpose of the Century Therapeutics, Inc. 2021 Employee Stock Purchase Plan is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42" w:lineRule="exact"/>
        <w:rPr>
          <w:rFonts w:ascii="Arial" w:cs="Arial" w:eastAsia="Arial" w:hAnsi="Arial"/>
          <w:sz w:val="14"/>
          <w:szCs w:val="14"/>
          <w:color w:val="auto"/>
        </w:rPr>
      </w:pPr>
    </w:p>
    <w:p>
      <w:pPr>
        <w:ind w:left="540" w:hanging="534"/>
        <w:spacing w:after="0"/>
        <w:tabs>
          <w:tab w:leader="none" w:pos="540" w:val="left"/>
        </w:tabs>
        <w:numPr>
          <w:ilvl w:val="0"/>
          <w:numId w:val="241"/>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Board of Directors of the Company, as constituted from time to time.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U.S. Internal Revenue Code of 1986, as amended. Any reference to a section of the Code shall be deemed to include any regulations promulgated thereunder.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Committee</w:t>
      </w:r>
      <w:r>
        <w:rPr>
          <w:rFonts w:ascii="Arial" w:cs="Arial" w:eastAsia="Arial" w:hAnsi="Arial"/>
          <w:sz w:val="14"/>
          <w:szCs w:val="14"/>
          <w:color w:val="auto"/>
        </w:rPr>
        <w:t>” means the Compensation Committee of the Board.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means the common stock of the Company, par value $0.001 per share.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means Century Therapeutics, Inc., a Delaware corporation, including any successor thereto.</w:t>
      </w:r>
    </w:p>
    <w:p>
      <w:pPr>
        <w:spacing w:after="0" w:line="182" w:lineRule="exact"/>
        <w:rPr>
          <w:sz w:val="20"/>
          <w:szCs w:val="20"/>
          <w:color w:val="auto"/>
        </w:rPr>
      </w:pPr>
    </w:p>
    <w:p>
      <w:pPr>
        <w:ind w:right="20" w:firstLine="514"/>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Compensation</w:t>
      </w:r>
      <w:r>
        <w:rPr>
          <w:rFonts w:ascii="Arial" w:cs="Arial" w:eastAsia="Arial" w:hAnsi="Arial"/>
          <w:sz w:val="14"/>
          <w:szCs w:val="14"/>
          <w:color w:val="auto"/>
        </w:rPr>
        <w:t>” means base salary and base wages, including compensation for overtime, paid to an Eligible Employee by the Company or a Participating Subsidiary as compensation for services to the Company or Participating Subsidiary, before deduction for any contributions from salary or wages made by the Eligible Employee to any tax-qualified or nonqualified deferred compensation plan, cafeteria plan or similar arrangement.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Transaction</w:t>
      </w:r>
      <w:r>
        <w:rPr>
          <w:rFonts w:ascii="Arial" w:cs="Arial" w:eastAsia="Arial" w:hAnsi="Arial"/>
          <w:sz w:val="13"/>
          <w:szCs w:val="13"/>
          <w:color w:val="auto"/>
        </w:rPr>
        <w:t>” means a merger, consolidation, acquisition of property or stock, separation, reorganization or other corporate event described in Section 424 of the Code.</w:t>
      </w:r>
    </w:p>
    <w:p>
      <w:pPr>
        <w:spacing w:after="0" w:line="193" w:lineRule="exact"/>
        <w:rPr>
          <w:sz w:val="20"/>
          <w:szCs w:val="20"/>
          <w:color w:val="auto"/>
        </w:rPr>
      </w:pPr>
    </w:p>
    <w:p>
      <w:pPr>
        <w:ind w:right="10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Designated Broker</w:t>
      </w:r>
      <w:r>
        <w:rPr>
          <w:rFonts w:ascii="Arial" w:cs="Arial" w:eastAsia="Arial" w:hAnsi="Arial"/>
          <w:sz w:val="14"/>
          <w:szCs w:val="14"/>
          <w:color w:val="auto"/>
        </w:rPr>
        <w:t>” means the financial services firm or other agent designated by the Company to maintain ESPP Share Accounts on behalf of Participants who have purchased shares of Common Stock under the Plan.</w:t>
      </w:r>
    </w:p>
    <w:p>
      <w:pPr>
        <w:spacing w:after="0" w:line="124" w:lineRule="exact"/>
        <w:rPr>
          <w:sz w:val="20"/>
          <w:szCs w:val="20"/>
          <w:color w:val="auto"/>
        </w:rPr>
      </w:pPr>
    </w:p>
    <w:p>
      <w:pPr>
        <w:ind w:right="6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means the Public Trading Date, provided that the Board has adopted the Plan prior to such date and subject to the Plan obtaining shareholder approval in accordance with </w:t>
      </w:r>
      <w:r>
        <w:rPr>
          <w:rFonts w:ascii="Arial" w:cs="Arial" w:eastAsia="Arial" w:hAnsi="Arial"/>
          <w:sz w:val="14"/>
          <w:szCs w:val="14"/>
          <w:u w:val="single" w:color="auto"/>
          <w:color w:val="auto"/>
        </w:rPr>
        <w:t>Section 19.10</w:t>
      </w:r>
      <w:r>
        <w:rPr>
          <w:rFonts w:ascii="Arial" w:cs="Arial" w:eastAsia="Arial" w:hAnsi="Arial"/>
          <w:sz w:val="14"/>
          <w:szCs w:val="14"/>
          <w:color w:val="auto"/>
        </w:rPr>
        <w:t>.</w:t>
      </w:r>
    </w:p>
    <w:p>
      <w:pPr>
        <w:spacing w:after="0" w:line="124" w:lineRule="exact"/>
        <w:rPr>
          <w:sz w:val="20"/>
          <w:szCs w:val="20"/>
          <w:color w:val="auto"/>
        </w:rPr>
      </w:pPr>
    </w:p>
    <w:p>
      <w:pPr>
        <w:ind w:right="140" w:firstLine="514"/>
        <w:spacing w:after="0" w:line="30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Employee</w:t>
      </w:r>
      <w:r>
        <w:rPr>
          <w:rFonts w:ascii="Arial" w:cs="Arial" w:eastAsia="Arial" w:hAnsi="Arial"/>
          <w:sz w:val="13"/>
          <w:szCs w:val="13"/>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716089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9" w:name="page380"/>
    <w:bookmarkEnd w:id="379"/>
    <w:p>
      <w:pPr>
        <w:ind w:right="180"/>
        <w:spacing w:after="0" w:line="285" w:lineRule="auto"/>
        <w:rPr>
          <w:sz w:val="20"/>
          <w:szCs w:val="20"/>
          <w:color w:val="auto"/>
        </w:rPr>
      </w:pPr>
      <w:r>
        <w:rPr>
          <w:rFonts w:ascii="Arial" w:cs="Arial" w:eastAsia="Arial" w:hAnsi="Arial"/>
          <w:sz w:val="14"/>
          <w:szCs w:val="14"/>
          <w:color w:val="auto"/>
        </w:rPr>
        <w:t>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28" w:lineRule="exact"/>
        <w:rPr>
          <w:sz w:val="20"/>
          <w:szCs w:val="20"/>
          <w:color w:val="auto"/>
        </w:rPr>
      </w:pPr>
    </w:p>
    <w:p>
      <w:pPr>
        <w:ind w:right="80" w:firstLine="514"/>
        <w:spacing w:after="0" w:line="2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Employee</w:t>
      </w:r>
      <w:r>
        <w:rPr>
          <w:rFonts w:ascii="Arial" w:cs="Arial" w:eastAsia="Arial" w:hAnsi="Arial"/>
          <w:sz w:val="14"/>
          <w:szCs w:val="14"/>
          <w:color w:val="auto"/>
        </w:rPr>
        <w:t>” means an Employee who is customarily employed for at least twenty (20) hours per week. Notwithstanding the foregoing, the Committee may exclude from participation in the Plan or from any Offering, Employees who are (x) “highly compensated employees” of the Company or a Participating Subsidiary (within the meaning of Section 414(q) of the Code) or a sub-set of such highly compensated employees, or (y) citizens or residents of a foreign jurisdiction where the grant of an option under the Plan to such Employee would be prohibited under the laws of such foreign jurisdiction or the grant of an option under the Plan to such Employee in compliance with the laws of such foreign jurisdiction would cause the Plan to violate the requirements of Section 423 of the Code, as determined by the Committee in its sole discretion.</w:t>
      </w:r>
    </w:p>
    <w:p>
      <w:pPr>
        <w:spacing w:after="0" w:line="143" w:lineRule="exact"/>
        <w:rPr>
          <w:sz w:val="20"/>
          <w:szCs w:val="20"/>
          <w:color w:val="auto"/>
        </w:rPr>
      </w:pPr>
    </w:p>
    <w:p>
      <w:pPr>
        <w:ind w:right="14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Enrollment Form</w:t>
      </w:r>
      <w:r>
        <w:rPr>
          <w:rFonts w:ascii="Arial" w:cs="Arial" w:eastAsia="Arial" w:hAnsi="Arial"/>
          <w:sz w:val="14"/>
          <w:szCs w:val="14"/>
          <w:color w:val="auto"/>
        </w:rPr>
        <w:t>” means an agreement pursuant to which an Eligible Employee may elect to enroll in the Plan, authorize a new level of payroll deductions, or stop payroll deductions and withdraw from an Offering Period.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ESPP Share Account</w:t>
      </w:r>
      <w:r>
        <w:rPr>
          <w:rFonts w:ascii="Arial" w:cs="Arial" w:eastAsia="Arial" w:hAnsi="Arial"/>
          <w:sz w:val="13"/>
          <w:szCs w:val="13"/>
          <w:color w:val="auto"/>
        </w:rPr>
        <w:t>” means an account into which Common Stock purchased with accumulated payroll deductions at the end of an Offering Period are held on behalf of a Participant.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Securities Exchange Act of 1934, as amended.</w:t>
      </w:r>
    </w:p>
    <w:p>
      <w:pPr>
        <w:spacing w:after="0" w:line="182" w:lineRule="exact"/>
        <w:rPr>
          <w:sz w:val="20"/>
          <w:szCs w:val="20"/>
          <w:color w:val="auto"/>
        </w:rPr>
      </w:pPr>
    </w:p>
    <w:p>
      <w:pPr>
        <w:ind w:firstLine="514"/>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Fair Market Value</w:t>
      </w:r>
      <w:r>
        <w:rPr>
          <w:rFonts w:ascii="Arial" w:cs="Arial" w:eastAsia="Arial" w:hAnsi="Arial"/>
          <w:sz w:val="14"/>
          <w:szCs w:val="14"/>
          <w:color w:val="auto"/>
        </w:rPr>
        <w:t>” means, as of any date, (i) if the shares are listed on any established stock exchange or a national market system, including, without limitation, the New York Stock Exchange or the Nasdaq Stock Market, the closing price of a share of Common Stock (or if no sales were reported, the closing price on the date immediately preceding such date) as quoted on such exchange or system on the day of determination, as reported in The Wall Street Journal, or (ii) in the absence of an established market for the shares, an amount determined in good faith by the Committee, with such determination conclusive and binding on all persons.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w:t>
      </w:r>
      <w:r>
        <w:rPr>
          <w:rFonts w:ascii="Arial" w:cs="Arial" w:eastAsia="Arial" w:hAnsi="Arial"/>
          <w:sz w:val="14"/>
          <w:szCs w:val="14"/>
          <w:color w:val="auto"/>
        </w:rPr>
        <w:t>” means the grant of rights to an Eligible Employee to purchase shares of Common Stock during an Offering Period in accordance with the Plan.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 Date</w:t>
      </w:r>
      <w:r>
        <w:rPr>
          <w:rFonts w:ascii="Arial" w:cs="Arial" w:eastAsia="Arial" w:hAnsi="Arial"/>
          <w:sz w:val="14"/>
          <w:szCs w:val="14"/>
          <w:color w:val="auto"/>
        </w:rPr>
        <w:t>” means the first Trading Day of each Offering Period, as designated by the Committee.</w:t>
      </w:r>
    </w:p>
    <w:p>
      <w:pPr>
        <w:spacing w:after="0" w:line="187" w:lineRule="exact"/>
        <w:rPr>
          <w:sz w:val="20"/>
          <w:szCs w:val="20"/>
          <w:color w:val="auto"/>
        </w:rPr>
      </w:pPr>
    </w:p>
    <w:p>
      <w:pPr>
        <w:ind w:right="200" w:firstLine="514"/>
        <w:spacing w:after="0" w:line="21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 Period</w:t>
      </w:r>
      <w:r>
        <w:rPr>
          <w:rFonts w:ascii="Arial" w:cs="Arial" w:eastAsia="Arial" w:hAnsi="Arial"/>
          <w:sz w:val="14"/>
          <w:szCs w:val="14"/>
          <w:color w:val="auto"/>
        </w:rPr>
        <w:t>” means a period of six (6) months beginning on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and July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each year;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pursuant to </w:t>
      </w:r>
      <w:r>
        <w:rPr>
          <w:rFonts w:ascii="Arial" w:cs="Arial" w:eastAsia="Arial" w:hAnsi="Arial"/>
          <w:sz w:val="14"/>
          <w:szCs w:val="14"/>
          <w:u w:val="single" w:color="auto"/>
          <w:color w:val="auto"/>
        </w:rPr>
        <w:t>Section 5</w:t>
      </w:r>
      <w:r>
        <w:rPr>
          <w:rFonts w:ascii="Arial" w:cs="Arial" w:eastAsia="Arial" w:hAnsi="Arial"/>
          <w:sz w:val="14"/>
          <w:szCs w:val="14"/>
          <w:color w:val="auto"/>
        </w:rPr>
        <w:t>, the Committee may change the duration of future Offering Periods (subject to a maximum Offering Period of twenty-seven (27) months) and/or the start and end dates of future Offering Periods.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w:t>
      </w:r>
      <w:r>
        <w:rPr>
          <w:rFonts w:ascii="Arial" w:cs="Arial" w:eastAsia="Arial" w:hAnsi="Arial"/>
          <w:sz w:val="14"/>
          <w:szCs w:val="14"/>
          <w:color w:val="auto"/>
        </w:rPr>
        <w:t>” means an Eligible Employee who is actively participating in the Plan.</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40"/>
          </w:cols>
          <w:pgMar w:left="300" w:top="750" w:right="359" w:bottom="1440" w:gutter="0" w:footer="0" w:header="0"/>
        </w:sectPr>
      </w:pPr>
    </w:p>
    <w:bookmarkStart w:id="380" w:name="page381"/>
    <w:bookmarkEnd w:id="380"/>
    <w:p>
      <w:pPr>
        <w:ind w:right="26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Participating Subsidiaries</w:t>
      </w:r>
      <w:r>
        <w:rPr>
          <w:rFonts w:ascii="Arial" w:cs="Arial" w:eastAsia="Arial" w:hAnsi="Arial"/>
          <w:sz w:val="14"/>
          <w:szCs w:val="14"/>
          <w:color w:val="auto"/>
        </w:rPr>
        <w:t>” means the Subsidiaries that the Committee has designated as eligible to participate in the Plan, and such other Subsidiaries that may be designated by the Committee from time to time in its sole discretion.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Plan</w:t>
      </w:r>
      <w:r>
        <w:rPr>
          <w:rFonts w:ascii="Arial" w:cs="Arial" w:eastAsia="Arial" w:hAnsi="Arial"/>
          <w:sz w:val="14"/>
          <w:szCs w:val="14"/>
          <w:color w:val="auto"/>
        </w:rPr>
        <w:t>” means this Century Therapeutics, Inc. 2021 Employee Stock Purchase Plan, as set forth herein, and as amended from time to time.</w:t>
      </w:r>
    </w:p>
    <w:p>
      <w:pPr>
        <w:spacing w:after="0" w:line="182" w:lineRule="exact"/>
        <w:rPr>
          <w:sz w:val="20"/>
          <w:szCs w:val="20"/>
          <w:color w:val="auto"/>
        </w:rPr>
      </w:pPr>
    </w:p>
    <w:p>
      <w:pPr>
        <w:ind w:right="30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Public Trading Date</w:t>
      </w:r>
      <w:r>
        <w:rPr>
          <w:rFonts w:ascii="Arial" w:cs="Arial" w:eastAsia="Arial" w:hAnsi="Arial"/>
          <w:sz w:val="14"/>
          <w:szCs w:val="14"/>
          <w:color w:val="auto"/>
        </w:rPr>
        <w:t>” shall mean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Purchase Date</w:t>
      </w:r>
      <w:r>
        <w:rPr>
          <w:rFonts w:ascii="Arial" w:cs="Arial" w:eastAsia="Arial" w:hAnsi="Arial"/>
          <w:sz w:val="14"/>
          <w:szCs w:val="14"/>
          <w:color w:val="auto"/>
        </w:rPr>
        <w:t>” means the last Trading Day of each Offering Period.</w:t>
      </w:r>
    </w:p>
    <w:p>
      <w:pPr>
        <w:spacing w:after="0" w:line="182" w:lineRule="exact"/>
        <w:rPr>
          <w:sz w:val="20"/>
          <w:szCs w:val="20"/>
          <w:color w:val="auto"/>
        </w:rPr>
      </w:pPr>
    </w:p>
    <w:p>
      <w:pPr>
        <w:ind w:right="80" w:firstLine="514"/>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means an amount equal to the lesser of (i) eighty-five percent (85%) of the Fair Market Value of a share of Common Stock on the Offering Date and (ii) eighty-five percent (85%) of the Fair Market Value of a share of Common Stock on the Purchase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Purchase Price per share of Common Stock will in no event be less than the par value of the Common Stock.</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w:t>
      </w:r>
    </w:p>
    <w:p>
      <w:pPr>
        <w:spacing w:after="0" w:line="18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xml:space="preserve">” means any corporation, domestic or foreign,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the chain;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limited liability company or partnership may be treated as a Subsidiary to the extent that either (i)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all cases, the determination of whether an entity is a Subsidiary shall be made in accordance with Section 424(f) of the Code.</w:t>
      </w:r>
    </w:p>
    <w:p>
      <w:pPr>
        <w:spacing w:after="0" w:line="145" w:lineRule="exact"/>
        <w:rPr>
          <w:sz w:val="20"/>
          <w:szCs w:val="20"/>
          <w:color w:val="auto"/>
        </w:rPr>
      </w:pPr>
    </w:p>
    <w:p>
      <w:pPr>
        <w:ind w:right="220" w:firstLine="51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Trading Day</w:t>
      </w:r>
      <w:r>
        <w:rPr>
          <w:rFonts w:ascii="Arial" w:cs="Arial" w:eastAsia="Arial" w:hAnsi="Arial"/>
          <w:sz w:val="14"/>
          <w:szCs w:val="14"/>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128" w:lineRule="exact"/>
        <w:rPr>
          <w:sz w:val="20"/>
          <w:szCs w:val="20"/>
          <w:color w:val="auto"/>
        </w:rPr>
      </w:pPr>
    </w:p>
    <w:p>
      <w:pPr>
        <w:ind w:right="640" w:firstLine="6"/>
        <w:spacing w:after="0" w:line="373" w:lineRule="auto"/>
        <w:tabs>
          <w:tab w:leader="none" w:pos="535" w:val="left"/>
        </w:tabs>
        <w:numPr>
          <w:ilvl w:val="0"/>
          <w:numId w:val="242"/>
        </w:numPr>
        <w:rPr>
          <w:rFonts w:ascii="Arial" w:cs="Arial" w:eastAsia="Arial" w:hAnsi="Arial"/>
          <w:sz w:val="12"/>
          <w:szCs w:val="12"/>
          <w:color w:val="auto"/>
        </w:rPr>
      </w:pPr>
      <w:r>
        <w:rPr>
          <w:rFonts w:ascii="Arial" w:cs="Arial" w:eastAsia="Arial" w:hAnsi="Arial"/>
          <w:sz w:val="12"/>
          <w:szCs w:val="12"/>
          <w:u w:val="single" w:color="auto"/>
          <w:color w:val="auto"/>
        </w:rPr>
        <w:t>Administration</w:t>
      </w:r>
      <w:r>
        <w:rPr>
          <w:rFonts w:ascii="Arial" w:cs="Arial" w:eastAsia="Arial" w:hAnsi="Arial"/>
          <w:sz w:val="12"/>
          <w:szCs w:val="12"/>
          <w:color w:val="auto"/>
        </w:rPr>
        <w:t>. The Committee shall administer the Plan and shall have the authority to construe and interpret the Plan, prescribe, amend and rescind rules relating to the Plan’s administration and take any other actions necessary or desirable for the administration of the Plan, and to ensure compliance with Section 423 of the Code and other applicable law. The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46" w:right="339"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color w:val="auto"/>
        </w:rPr>
        <w:t>Committee’s decisions shall be final and binding on all persons. All expenses of administering the Plan shall be borne by the Company.</w:t>
      </w:r>
    </w:p>
    <w:p>
      <w:pPr>
        <w:spacing w:after="0" w:line="182" w:lineRule="exact"/>
        <w:rPr>
          <w:sz w:val="20"/>
          <w:szCs w:val="20"/>
          <w:color w:val="auto"/>
        </w:rPr>
      </w:pPr>
    </w:p>
    <w:p>
      <w:pPr>
        <w:ind w:left="540" w:hanging="534"/>
        <w:spacing w:after="0"/>
        <w:tabs>
          <w:tab w:leader="none" w:pos="54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Eligibility</w:t>
      </w:r>
      <w:r>
        <w:rPr>
          <w:rFonts w:ascii="Arial" w:cs="Arial" w:eastAsia="Arial" w:hAnsi="Arial"/>
          <w:sz w:val="14"/>
          <w:szCs w:val="14"/>
          <w:color w:val="auto"/>
        </w:rPr>
        <w:t>.</w:t>
      </w:r>
    </w:p>
    <w:p>
      <w:pPr>
        <w:spacing w:after="0" w:line="182" w:lineRule="exact"/>
        <w:rPr>
          <w:sz w:val="20"/>
          <w:szCs w:val="20"/>
          <w:color w:val="auto"/>
        </w:rPr>
      </w:pPr>
    </w:p>
    <w:p>
      <w:pPr>
        <w:jc w:val="both"/>
        <w:ind w:right="400" w:firstLine="514"/>
        <w:spacing w:after="0" w:line="325" w:lineRule="auto"/>
        <w:rPr>
          <w:sz w:val="20"/>
          <w:szCs w:val="20"/>
          <w:color w:val="auto"/>
        </w:rPr>
      </w:pPr>
      <w:r>
        <w:rPr>
          <w:rFonts w:ascii="Arial" w:cs="Arial" w:eastAsia="Arial" w:hAnsi="Arial"/>
          <w:sz w:val="13"/>
          <w:szCs w:val="13"/>
          <w:color w:val="auto"/>
        </w:rPr>
        <w:t>4.1. Unless otherwise determined by the Committee in a manner consistent with Section 423 of the Code, any individual who is an Eligible Employee as of the first day of the enrollment period designated by the Committee for a particular Offering Period shall be eligible to participate in such Offering Period, subject to requirements under Section 423 of the Code.</w:t>
      </w:r>
    </w:p>
    <w:p>
      <w:pPr>
        <w:spacing w:after="0" w:line="109" w:lineRule="exact"/>
        <w:rPr>
          <w:sz w:val="20"/>
          <w:szCs w:val="20"/>
          <w:color w:val="auto"/>
        </w:rPr>
      </w:pPr>
    </w:p>
    <w:p>
      <w:pPr>
        <w:ind w:firstLine="514"/>
        <w:spacing w:after="0" w:line="261" w:lineRule="auto"/>
        <w:rPr>
          <w:sz w:val="20"/>
          <w:szCs w:val="20"/>
          <w:color w:val="auto"/>
        </w:rPr>
      </w:pPr>
      <w:r>
        <w:rPr>
          <w:rFonts w:ascii="Arial" w:cs="Arial" w:eastAsia="Arial" w:hAnsi="Arial"/>
          <w:sz w:val="14"/>
          <w:szCs w:val="14"/>
          <w:color w:val="auto"/>
        </w:rPr>
        <w:t>4.2. Notwithstanding any provision of the Plan to the contrary, (i) no Eligible Employee shall be granted an option under the Plan if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and (ii) in accordance with Section 423(b)(8) of the Code, no Eligible Employee shall be granted an option under the Plan to the extent such option would permit his or her rights to purchase stock under the Plan and all other employee stock purchase plans of the Company and any Subsidiary to accrue at a rate which exceeds $25,000 of the fair market value of such stock (determined at the time the option is granted) for each calendar year in which the option is outstanding.</w:t>
      </w:r>
    </w:p>
    <w:p>
      <w:pPr>
        <w:spacing w:after="0" w:line="149" w:lineRule="exact"/>
        <w:rPr>
          <w:sz w:val="20"/>
          <w:szCs w:val="20"/>
          <w:color w:val="auto"/>
        </w:rPr>
      </w:pPr>
    </w:p>
    <w:p>
      <w:pPr>
        <w:ind w:right="240" w:firstLine="6"/>
        <w:spacing w:after="0" w:line="285" w:lineRule="auto"/>
        <w:tabs>
          <w:tab w:leader="none" w:pos="535"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Offering Periods</w:t>
      </w:r>
      <w:r>
        <w:rPr>
          <w:rFonts w:ascii="Arial" w:cs="Arial" w:eastAsia="Arial" w:hAnsi="Arial"/>
          <w:sz w:val="14"/>
          <w:szCs w:val="14"/>
          <w:color w:val="auto"/>
        </w:rPr>
        <w:t>. The Plan shall be implemented by a series of Offering Periods, commencing at such time as determined by the Committee. The Committee shall have the authority to change the duration, frequency, start and end dates of Offering Periods.</w:t>
      </w:r>
    </w:p>
    <w:p>
      <w:pPr>
        <w:spacing w:after="0" w:line="131" w:lineRule="exact"/>
        <w:rPr>
          <w:rFonts w:ascii="Arial" w:cs="Arial" w:eastAsia="Arial" w:hAnsi="Arial"/>
          <w:sz w:val="14"/>
          <w:szCs w:val="14"/>
          <w:color w:val="auto"/>
        </w:rPr>
      </w:pPr>
    </w:p>
    <w:p>
      <w:pPr>
        <w:ind w:left="540" w:hanging="534"/>
        <w:spacing w:after="0"/>
        <w:tabs>
          <w:tab w:leader="none" w:pos="540"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Participation</w:t>
      </w:r>
      <w:r>
        <w:rPr>
          <w:rFonts w:ascii="Arial" w:cs="Arial" w:eastAsia="Arial" w:hAnsi="Arial"/>
          <w:sz w:val="14"/>
          <w:szCs w:val="14"/>
          <w:color w:val="auto"/>
        </w:rPr>
        <w:t>.</w:t>
      </w:r>
    </w:p>
    <w:p>
      <w:pPr>
        <w:spacing w:after="0" w:line="182" w:lineRule="exact"/>
        <w:rPr>
          <w:sz w:val="20"/>
          <w:szCs w:val="20"/>
          <w:color w:val="auto"/>
        </w:rPr>
      </w:pPr>
    </w:p>
    <w:p>
      <w:pPr>
        <w:ind w:firstLine="514"/>
        <w:spacing w:after="0" w:line="26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Enrollment and Payroll Deductions</w:t>
      </w:r>
      <w:r>
        <w:rPr>
          <w:rFonts w:ascii="Arial" w:cs="Arial" w:eastAsia="Arial" w:hAnsi="Arial"/>
          <w:sz w:val="14"/>
          <w:szCs w:val="14"/>
          <w:color w:val="auto"/>
        </w:rPr>
        <w:t>. An Eligible Employee may elect to participate in the Plan by completing an Enrollment Form and submitting it to the Company, in accordance with the enrollment procedures established by the Committee. Participation in the Plan is entirely voluntary. By submitting an Enrollment Form, an Eligible Employee authorizes payroll deductions from his or her pay check in an amount equal to (i) a whole percentage of his or her Compensation (no less than 1% and no greater than 15% (or such other maximum percentage as the Committee may establish from time to time before an Offering Period begins)) or (ii) a fixed dollar amount, in each case, on each pay day occurring during an Offering Period.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150" w:lineRule="exact"/>
        <w:rPr>
          <w:sz w:val="20"/>
          <w:szCs w:val="20"/>
          <w:color w:val="auto"/>
        </w:rPr>
      </w:pPr>
    </w:p>
    <w:p>
      <w:pPr>
        <w:ind w:right="40" w:firstLine="514"/>
        <w:spacing w:after="0" w:line="28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Election Changes</w:t>
      </w:r>
      <w:r>
        <w:rPr>
          <w:rFonts w:ascii="Arial" w:cs="Arial" w:eastAsia="Arial" w:hAnsi="Arial"/>
          <w:sz w:val="14"/>
          <w:szCs w:val="14"/>
          <w:color w:val="auto"/>
        </w:rPr>
        <w:t>. During an Offering Period, a Participant may decrease or increase his or her rate of payroll deductions applicable to such Offering Period only once. To make such a change, the Participant must submit a new Enrollment Form authorizing the new</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60"/>
          </w:cols>
          <w:pgMar w:left="300" w:top="750" w:right="339" w:bottom="1440" w:gutter="0" w:footer="0" w:header="0"/>
        </w:sectPr>
      </w:pPr>
    </w:p>
    <w:bookmarkStart w:id="382" w:name="page383"/>
    <w:bookmarkEnd w:id="382"/>
    <w:p>
      <w:pPr>
        <w:ind w:right="20"/>
        <w:spacing w:after="0" w:line="300" w:lineRule="auto"/>
        <w:rPr>
          <w:sz w:val="20"/>
          <w:szCs w:val="20"/>
          <w:color w:val="auto"/>
        </w:rPr>
      </w:pPr>
      <w:r>
        <w:rPr>
          <w:rFonts w:ascii="Arial" w:cs="Arial" w:eastAsia="Arial" w:hAnsi="Arial"/>
          <w:sz w:val="13"/>
          <w:szCs w:val="13"/>
          <w:color w:val="auto"/>
        </w:rPr>
        <w:t>rate of payroll deductions at least fifteen (15) days before the Purchase Date. Any such change of payroll deductions during an Offering Period shall be effective with the first full payroll period that commences at least five (5) business days after the Company’s receipt of the Participant’s new Enrollment Form. A Participant may decrease or increase his or her rate of payroll deductions for future Offering Periods by submitting a new Enrollment Form authorizing the new rate of payroll deductions at least fifteen (15) days before the start of the next Offering Period.</w:t>
      </w:r>
    </w:p>
    <w:p>
      <w:pPr>
        <w:spacing w:after="0" w:line="125"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3"/>
          <w:szCs w:val="13"/>
          <w:u w:val="single" w:color="auto"/>
          <w:color w:val="auto"/>
        </w:rPr>
        <w:t>Automatic Re-Enrollment</w:t>
      </w:r>
      <w:r>
        <w:rPr>
          <w:rFonts w:ascii="Arial" w:cs="Arial" w:eastAsia="Arial" w:hAnsi="Arial"/>
          <w:sz w:val="13"/>
          <w:szCs w:val="13"/>
          <w:color w:val="auto"/>
        </w:rPr>
        <w:t>. The deduction rate selected by a Participant in an Enrollment Form shall remain in effect for subsequent Offering Periods, unless the Participant</w:t>
      </w:r>
    </w:p>
    <w:p>
      <w:pPr>
        <w:spacing w:after="0" w:line="20" w:lineRule="exact"/>
        <w:rPr>
          <w:sz w:val="20"/>
          <w:szCs w:val="20"/>
          <w:color w:val="auto"/>
        </w:rPr>
      </w:pPr>
    </w:p>
    <w:p>
      <w:pPr>
        <w:ind w:right="340" w:firstLine="6"/>
        <w:spacing w:after="0" w:line="270" w:lineRule="auto"/>
        <w:tabs>
          <w:tab w:leader="none" w:pos="17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 xml:space="preserve">submits a new Enrollment Form authorizing a new level of payroll deductions in accordance with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(ii) withdraws from the Plan in accordance with </w:t>
      </w:r>
      <w:r>
        <w:rPr>
          <w:rFonts w:ascii="Arial" w:cs="Arial" w:eastAsia="Arial" w:hAnsi="Arial"/>
          <w:sz w:val="14"/>
          <w:szCs w:val="14"/>
          <w:u w:val="single" w:color="auto"/>
          <w:color w:val="auto"/>
        </w:rPr>
        <w:t>Section 10</w:t>
      </w:r>
      <w:r>
        <w:rPr>
          <w:rFonts w:ascii="Arial" w:cs="Arial" w:eastAsia="Arial" w:hAnsi="Arial"/>
          <w:sz w:val="14"/>
          <w:szCs w:val="14"/>
          <w:color w:val="auto"/>
        </w:rPr>
        <w:t>, or (iii) terminates employment or otherwise becomes ineligible to participate in the Plan.</w:t>
      </w:r>
    </w:p>
    <w:p>
      <w:pPr>
        <w:spacing w:after="0" w:line="142" w:lineRule="exact"/>
        <w:rPr>
          <w:sz w:val="20"/>
          <w:szCs w:val="20"/>
          <w:color w:val="auto"/>
        </w:rPr>
      </w:pPr>
    </w:p>
    <w:p>
      <w:pPr>
        <w:jc w:val="both"/>
        <w:ind w:right="180" w:firstLine="6"/>
        <w:spacing w:after="0" w:line="265" w:lineRule="auto"/>
        <w:tabs>
          <w:tab w:leader="none" w:pos="535"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xml:space="preserve">. On each Offering Date, each Participant in the applicable Offering Period shall be granted an option to purchase, on the Purchase Date, a number of shares of Common Stock determined by dividing the Participant’s accumulated payroll deductions during the Offering Period by the applicable Purchase Price (rounded down to the nearest whole share of Common Stock);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any Participant purchase more than 5,000 shares of Common Stock during an Offering Period (subject to adjustment in accordance with </w:t>
      </w:r>
      <w:r>
        <w:rPr>
          <w:rFonts w:ascii="Arial" w:cs="Arial" w:eastAsia="Arial" w:hAnsi="Arial"/>
          <w:sz w:val="14"/>
          <w:szCs w:val="14"/>
          <w:u w:val="single" w:color="auto"/>
          <w:color w:val="auto"/>
        </w:rPr>
        <w:t>Section 18</w:t>
      </w:r>
      <w:r>
        <w:rPr>
          <w:rFonts w:ascii="Arial" w:cs="Arial" w:eastAsia="Arial" w:hAnsi="Arial"/>
          <w:sz w:val="14"/>
          <w:szCs w:val="14"/>
          <w:color w:val="auto"/>
        </w:rPr>
        <w:t xml:space="preserve"> and the limitations set forth in </w:t>
      </w:r>
      <w:r>
        <w:rPr>
          <w:rFonts w:ascii="Arial" w:cs="Arial" w:eastAsia="Arial" w:hAnsi="Arial"/>
          <w:sz w:val="14"/>
          <w:szCs w:val="14"/>
          <w:u w:val="single" w:color="auto"/>
          <w:color w:val="auto"/>
        </w:rPr>
        <w:t>Section 13</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80" w:firstLine="6"/>
        <w:spacing w:after="0" w:line="270" w:lineRule="auto"/>
        <w:tabs>
          <w:tab w:leader="none" w:pos="535"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t>Exercise of Option/Purchase of Shares</w:t>
      </w:r>
      <w:r>
        <w:rPr>
          <w:rFonts w:ascii="Arial" w:cs="Arial" w:eastAsia="Arial" w:hAnsi="Arial"/>
          <w:sz w:val="14"/>
          <w:szCs w:val="14"/>
          <w:color w:val="auto"/>
        </w:rPr>
        <w:t>. A Participant’s option to purchase shares of Common Stock will be exercised automatically on the Purchase Date of each Offering Period. The Participant’s accumulated payroll deductions will be used to purchase the maximum number of whole shares of Common Stock that can be purchased with the amounts in the Participant’s notional account. No fractional shares may be purchased.</w:t>
      </w:r>
    </w:p>
    <w:p>
      <w:pPr>
        <w:spacing w:after="0" w:line="142" w:lineRule="exact"/>
        <w:rPr>
          <w:rFonts w:ascii="Arial" w:cs="Arial" w:eastAsia="Arial" w:hAnsi="Arial"/>
          <w:sz w:val="14"/>
          <w:szCs w:val="14"/>
          <w:color w:val="auto"/>
        </w:rPr>
      </w:pPr>
    </w:p>
    <w:p>
      <w:pPr>
        <w:ind w:firstLine="6"/>
        <w:spacing w:after="0" w:line="292" w:lineRule="auto"/>
        <w:tabs>
          <w:tab w:leader="none" w:pos="535" w:val="left"/>
        </w:tabs>
        <w:numPr>
          <w:ilvl w:val="0"/>
          <w:numId w:val="246"/>
        </w:numPr>
        <w:rPr>
          <w:rFonts w:ascii="Arial" w:cs="Arial" w:eastAsia="Arial" w:hAnsi="Arial"/>
          <w:sz w:val="13"/>
          <w:szCs w:val="13"/>
          <w:color w:val="auto"/>
        </w:rPr>
      </w:pPr>
      <w:r>
        <w:rPr>
          <w:rFonts w:ascii="Arial" w:cs="Arial" w:eastAsia="Arial" w:hAnsi="Arial"/>
          <w:sz w:val="13"/>
          <w:szCs w:val="13"/>
          <w:u w:val="single" w:color="auto"/>
          <w:color w:val="auto"/>
        </w:rPr>
        <w:t>Transfer of Shares</w:t>
      </w:r>
      <w:r>
        <w:rPr>
          <w:rFonts w:ascii="Arial" w:cs="Arial" w:eastAsia="Arial" w:hAnsi="Arial"/>
          <w:sz w:val="13"/>
          <w:szCs w:val="13"/>
          <w:color w:val="auto"/>
        </w:rPr>
        <w:t xml:space="preserve">. As soon as reasonably practicable after each Purchase Date, the Company will arrange for the delivery to each Participant of the shares of Common Stock purchased upon exercise of his or her option. The Committee may permit or require that the shares of Common Stock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w:t>
      </w:r>
      <w:r>
        <w:rPr>
          <w:rFonts w:ascii="Arial" w:cs="Arial" w:eastAsia="Arial" w:hAnsi="Arial"/>
          <w:sz w:val="13"/>
          <w:szCs w:val="13"/>
          <w:u w:val="single" w:color="auto"/>
          <w:color w:val="auto"/>
        </w:rPr>
        <w:t>Section 9</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620" w:hanging="614"/>
        <w:spacing w:after="0"/>
        <w:tabs>
          <w:tab w:leader="none" w:pos="620"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t>Withdrawal</w:t>
      </w:r>
      <w:r>
        <w:rPr>
          <w:rFonts w:ascii="Arial" w:cs="Arial" w:eastAsia="Arial" w:hAnsi="Arial"/>
          <w:sz w:val="14"/>
          <w:szCs w:val="14"/>
          <w:color w:val="auto"/>
        </w:rPr>
        <w:t>.</w:t>
      </w:r>
    </w:p>
    <w:p>
      <w:pPr>
        <w:spacing w:after="0" w:line="182" w:lineRule="exact"/>
        <w:rPr>
          <w:sz w:val="20"/>
          <w:szCs w:val="20"/>
          <w:color w:val="auto"/>
        </w:rPr>
      </w:pPr>
    </w:p>
    <w:p>
      <w:pPr>
        <w:ind w:right="120" w:firstLine="514"/>
        <w:spacing w:after="0" w:line="270"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Withdrawal Procedure</w:t>
      </w:r>
      <w:r>
        <w:rPr>
          <w:rFonts w:ascii="Arial" w:cs="Arial" w:eastAsia="Arial" w:hAnsi="Arial"/>
          <w:sz w:val="14"/>
          <w:szCs w:val="14"/>
          <w:color w:val="auto"/>
        </w:rPr>
        <w:t>. A Participant may withdraw from an Offering by submitting a revised Enrollment Form to the Committee indicating his or her election to withdraw at least fifteen (15) days before the Purchase Date. The accumulated payroll deductions held on behalf of a Participant in his or her notional account (that have not been used to purchase shares of Common Stock) shall be paid to the Participant promptly following receipt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83" w:name="page384"/>
    <w:bookmarkEnd w:id="383"/>
    <w:p>
      <w:pPr>
        <w:ind w:right="60"/>
        <w:spacing w:after="0" w:line="285" w:lineRule="auto"/>
        <w:rPr>
          <w:sz w:val="20"/>
          <w:szCs w:val="20"/>
          <w:color w:val="auto"/>
        </w:rPr>
      </w:pPr>
      <w:r>
        <w:rPr>
          <w:rFonts w:ascii="Arial" w:cs="Arial" w:eastAsia="Arial" w:hAnsi="Arial"/>
          <w:sz w:val="14"/>
          <w:szCs w:val="14"/>
          <w:color w:val="auto"/>
        </w:rPr>
        <w:t xml:space="preserve">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w:t>
      </w:r>
      <w:r>
        <w:rPr>
          <w:rFonts w:ascii="Arial" w:cs="Arial" w:eastAsia="Arial" w:hAnsi="Arial"/>
          <w:sz w:val="14"/>
          <w:szCs w:val="14"/>
          <w:u w:val="single" w:color="auto"/>
          <w:color w:val="auto"/>
        </w:rPr>
        <w:t>Section 6.1</w:t>
      </w:r>
      <w:r>
        <w:rPr>
          <w:rFonts w:ascii="Arial" w:cs="Arial" w:eastAsia="Arial" w:hAnsi="Arial"/>
          <w:sz w:val="14"/>
          <w:szCs w:val="14"/>
          <w:color w:val="auto"/>
        </w:rPr>
        <w:t>.</w:t>
      </w:r>
    </w:p>
    <w:p>
      <w:pPr>
        <w:spacing w:after="0" w:line="132" w:lineRule="exact"/>
        <w:rPr>
          <w:sz w:val="20"/>
          <w:szCs w:val="20"/>
          <w:color w:val="auto"/>
        </w:rPr>
      </w:pPr>
    </w:p>
    <w:p>
      <w:pPr>
        <w:ind w:right="500" w:firstLine="514"/>
        <w:spacing w:after="0" w:line="285"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Effect on Succeeding Offering Periods</w:t>
      </w:r>
      <w:r>
        <w:rPr>
          <w:rFonts w:ascii="Arial" w:cs="Arial" w:eastAsia="Arial" w:hAnsi="Arial"/>
          <w:sz w:val="14"/>
          <w:szCs w:val="14"/>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32" w:lineRule="exact"/>
        <w:rPr>
          <w:sz w:val="20"/>
          <w:szCs w:val="20"/>
          <w:color w:val="auto"/>
        </w:rPr>
      </w:pPr>
    </w:p>
    <w:p>
      <w:pPr>
        <w:ind w:firstLine="6"/>
        <w:spacing w:after="0" w:line="265" w:lineRule="auto"/>
        <w:tabs>
          <w:tab w:leader="none" w:pos="601" w:val="left"/>
        </w:tabs>
        <w:numPr>
          <w:ilvl w:val="0"/>
          <w:numId w:val="247"/>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Change in Employment Status</w:t>
      </w:r>
      <w:r>
        <w:rPr>
          <w:rFonts w:ascii="Arial" w:cs="Arial" w:eastAsia="Arial" w:hAnsi="Arial"/>
          <w:sz w:val="14"/>
          <w:szCs w:val="14"/>
          <w:color w:val="auto"/>
        </w:rPr>
        <w:t xml:space="preserve">. Upon termination of a Participant’s employment for any reason, including death, disability or retirement, or a change in the Participant’s employment status following which the Participant is no longer an Eligible Employee,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w:t>
      </w:r>
      <w:r>
        <w:rPr>
          <w:rFonts w:ascii="Arial" w:cs="Arial" w:eastAsia="Arial" w:hAnsi="Arial"/>
          <w:sz w:val="14"/>
          <w:szCs w:val="14"/>
          <w:u w:val="single" w:color="auto"/>
          <w:color w:val="auto"/>
        </w:rPr>
        <w:t>Section 17</w:t>
      </w:r>
      <w:r>
        <w:rPr>
          <w:rFonts w:ascii="Arial" w:cs="Arial" w:eastAsia="Arial" w:hAnsi="Arial"/>
          <w:sz w:val="14"/>
          <w:szCs w:val="14"/>
          <w:color w:val="auto"/>
        </w:rPr>
        <w:t>, and the Participant’s option shall be automatically terminated.</w:t>
      </w:r>
    </w:p>
    <w:p>
      <w:pPr>
        <w:spacing w:after="0" w:line="145" w:lineRule="exact"/>
        <w:rPr>
          <w:rFonts w:ascii="Arial" w:cs="Arial" w:eastAsia="Arial" w:hAnsi="Arial"/>
          <w:sz w:val="14"/>
          <w:szCs w:val="14"/>
          <w:color w:val="auto"/>
        </w:rPr>
      </w:pPr>
    </w:p>
    <w:p>
      <w:pPr>
        <w:ind w:left="620" w:hanging="614"/>
        <w:spacing w:after="0"/>
        <w:tabs>
          <w:tab w:leader="none" w:pos="620" w:val="left"/>
        </w:tabs>
        <w:numPr>
          <w:ilvl w:val="0"/>
          <w:numId w:val="247"/>
        </w:numPr>
        <w:rPr>
          <w:rFonts w:ascii="Arial" w:cs="Arial" w:eastAsia="Arial" w:hAnsi="Arial"/>
          <w:sz w:val="14"/>
          <w:szCs w:val="14"/>
          <w:color w:val="auto"/>
        </w:rPr>
      </w:pPr>
      <w:r>
        <w:rPr>
          <w:rFonts w:ascii="Arial" w:cs="Arial" w:eastAsia="Arial" w:hAnsi="Arial"/>
          <w:sz w:val="14"/>
          <w:szCs w:val="14"/>
          <w:u w:val="single" w:color="auto"/>
          <w:color w:val="auto"/>
        </w:rPr>
        <w:t>Interest</w:t>
      </w:r>
      <w:r>
        <w:rPr>
          <w:rFonts w:ascii="Arial" w:cs="Arial" w:eastAsia="Arial" w:hAnsi="Arial"/>
          <w:sz w:val="14"/>
          <w:szCs w:val="14"/>
          <w:color w:val="auto"/>
        </w:rPr>
        <w:t>. No interest shall accrue on or be payable with respect to the payroll deductions of a Participant in the Plan.</w:t>
      </w:r>
    </w:p>
    <w:p>
      <w:pPr>
        <w:spacing w:after="0" w:line="181" w:lineRule="exact"/>
        <w:rPr>
          <w:rFonts w:ascii="Arial" w:cs="Arial" w:eastAsia="Arial" w:hAnsi="Arial"/>
          <w:sz w:val="14"/>
          <w:szCs w:val="14"/>
          <w:color w:val="auto"/>
        </w:rPr>
      </w:pPr>
    </w:p>
    <w:p>
      <w:pPr>
        <w:ind w:left="620" w:hanging="614"/>
        <w:spacing w:after="0"/>
        <w:tabs>
          <w:tab w:leader="none" w:pos="620" w:val="left"/>
        </w:tabs>
        <w:numPr>
          <w:ilvl w:val="0"/>
          <w:numId w:val="247"/>
        </w:numPr>
        <w:rPr>
          <w:rFonts w:ascii="Arial" w:cs="Arial" w:eastAsia="Arial" w:hAnsi="Arial"/>
          <w:sz w:val="14"/>
          <w:szCs w:val="14"/>
          <w:color w:val="auto"/>
        </w:rPr>
      </w:pPr>
      <w:r>
        <w:rPr>
          <w:rFonts w:ascii="Arial" w:cs="Arial" w:eastAsia="Arial" w:hAnsi="Arial"/>
          <w:sz w:val="14"/>
          <w:szCs w:val="14"/>
          <w:u w:val="single" w:color="auto"/>
          <w:color w:val="auto"/>
        </w:rPr>
        <w:t>Shares Reserved for Plan</w:t>
      </w:r>
      <w:r>
        <w:rPr>
          <w:rFonts w:ascii="Arial" w:cs="Arial" w:eastAsia="Arial" w:hAnsi="Arial"/>
          <w:sz w:val="14"/>
          <w:szCs w:val="14"/>
          <w:color w:val="auto"/>
        </w:rPr>
        <w:t>.</w:t>
      </w:r>
    </w:p>
    <w:p>
      <w:pPr>
        <w:spacing w:after="0" w:line="182" w:lineRule="exact"/>
        <w:rPr>
          <w:sz w:val="20"/>
          <w:szCs w:val="20"/>
          <w:color w:val="auto"/>
        </w:rPr>
      </w:pPr>
    </w:p>
    <w:p>
      <w:pPr>
        <w:ind w:right="40" w:firstLine="514"/>
        <w:spacing w:after="0" w:line="262" w:lineRule="auto"/>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u w:val="single" w:color="auto"/>
          <w:color w:val="auto"/>
        </w:rPr>
        <w:t>Number of Shares</w:t>
      </w:r>
      <w:r>
        <w:rPr>
          <w:rFonts w:ascii="Arial" w:cs="Arial" w:eastAsia="Arial" w:hAnsi="Arial"/>
          <w:sz w:val="14"/>
          <w:szCs w:val="14"/>
          <w:color w:val="auto"/>
        </w:rPr>
        <w:t>. A total of 564,071 shares of Common Stock have been authorized and reserved for issuance under the Plan. In addition to the foregoing, subject to prior approval by the Board in each instance, on or about January 1, 2022 and on each anniversary of such date thereafter prior to the termination of the Plan, the number of shares of Common Stock authorized and reserved for issuance under the Plan shall be increased by a number of shares of Common Stock equal to the lesser of (i) 1,128,142 shares of Common Stock, (ii) 1% of the shares of Common Stock outstanding on the final day of the immediately preceding calendar year, and (iii) such smaller number of shares of Common Stock as determined by the Board. Such shares of Common Stock may be newly issued shares, treasury shares or shares acquired on the open market.</w:t>
      </w:r>
    </w:p>
    <w:p>
      <w:pPr>
        <w:spacing w:after="0" w:line="149" w:lineRule="exact"/>
        <w:rPr>
          <w:sz w:val="20"/>
          <w:szCs w:val="20"/>
          <w:color w:val="auto"/>
        </w:rPr>
      </w:pPr>
    </w:p>
    <w:p>
      <w:pPr>
        <w:ind w:right="60" w:firstLine="514"/>
        <w:spacing w:after="0" w:line="262"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u w:val="single" w:color="auto"/>
          <w:color w:val="auto"/>
        </w:rPr>
        <w:t>Over-Subscribed Offerings</w:t>
      </w:r>
      <w:r>
        <w:rPr>
          <w:rFonts w:ascii="Arial" w:cs="Arial" w:eastAsia="Arial" w:hAnsi="Arial"/>
          <w:sz w:val="14"/>
          <w:szCs w:val="14"/>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84" w:name="page385"/>
    <w:bookmarkEnd w:id="384"/>
    <w:p>
      <w:pPr>
        <w:spacing w:after="0"/>
        <w:rPr>
          <w:sz w:val="20"/>
          <w:szCs w:val="20"/>
          <w:color w:val="auto"/>
        </w:rPr>
      </w:pPr>
      <w:r>
        <w:rPr>
          <w:rFonts w:ascii="Arial" w:cs="Arial" w:eastAsia="Arial" w:hAnsi="Arial"/>
          <w:sz w:val="14"/>
          <w:szCs w:val="14"/>
          <w:color w:val="auto"/>
        </w:rPr>
        <w:t>available for purchase in as uniform a manner as practicable and as the Committee determines to be equitable.</w:t>
      </w:r>
    </w:p>
    <w:p>
      <w:pPr>
        <w:spacing w:after="0" w:line="182" w:lineRule="exact"/>
        <w:rPr>
          <w:sz w:val="20"/>
          <w:szCs w:val="20"/>
          <w:color w:val="auto"/>
        </w:rPr>
      </w:pPr>
    </w:p>
    <w:p>
      <w:pPr>
        <w:ind w:right="20" w:firstLine="6"/>
        <w:spacing w:after="0" w:line="270" w:lineRule="auto"/>
        <w:tabs>
          <w:tab w:leader="none" w:pos="607"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Transferability</w:t>
      </w:r>
      <w:r>
        <w:rPr>
          <w:rFonts w:ascii="Arial" w:cs="Arial" w:eastAsia="Arial" w:hAnsi="Arial"/>
          <w:sz w:val="14"/>
          <w:szCs w:val="14"/>
          <w:color w:val="auto"/>
        </w:rPr>
        <w:t xml:space="preserve">. No payroll deductions credited to a Participant or any rights with respect to the exercise of an option or any rights to receive Common Stock hereunder may be assigned, transferred, pledged or otherwise disposed of in any way by the Participant, other than by will, the laws of descent and distribution, or as provided in </w:t>
      </w:r>
      <w:r>
        <w:rPr>
          <w:rFonts w:ascii="Arial" w:cs="Arial" w:eastAsia="Arial" w:hAnsi="Arial"/>
          <w:sz w:val="14"/>
          <w:szCs w:val="14"/>
          <w:u w:val="single" w:color="auto"/>
          <w:color w:val="auto"/>
        </w:rPr>
        <w:t>Section 17</w:t>
      </w:r>
      <w:r>
        <w:rPr>
          <w:rFonts w:ascii="Arial" w:cs="Arial" w:eastAsia="Arial" w:hAnsi="Arial"/>
          <w:sz w:val="14"/>
          <w:szCs w:val="14"/>
          <w:color w:val="auto"/>
        </w:rPr>
        <w:t>. Any attempt to assign, transfer, pledge or otherwise dispose of such rights or amounts shall be without effect.</w:t>
      </w:r>
    </w:p>
    <w:p>
      <w:pPr>
        <w:spacing w:after="0" w:line="142" w:lineRule="exact"/>
        <w:rPr>
          <w:rFonts w:ascii="Arial" w:cs="Arial" w:eastAsia="Arial" w:hAnsi="Arial"/>
          <w:sz w:val="14"/>
          <w:szCs w:val="14"/>
          <w:color w:val="auto"/>
        </w:rPr>
      </w:pPr>
    </w:p>
    <w:p>
      <w:pPr>
        <w:ind w:right="480" w:firstLine="6"/>
        <w:spacing w:after="0" w:line="285" w:lineRule="auto"/>
        <w:tabs>
          <w:tab w:leader="none" w:pos="607"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Application of Funds</w:t>
      </w:r>
      <w:r>
        <w:rPr>
          <w:rFonts w:ascii="Arial" w:cs="Arial" w:eastAsia="Arial" w:hAnsi="Arial"/>
          <w:sz w:val="14"/>
          <w:szCs w:val="14"/>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131" w:lineRule="exact"/>
        <w:rPr>
          <w:rFonts w:ascii="Arial" w:cs="Arial" w:eastAsia="Arial" w:hAnsi="Arial"/>
          <w:sz w:val="14"/>
          <w:szCs w:val="14"/>
          <w:color w:val="auto"/>
        </w:rPr>
      </w:pPr>
    </w:p>
    <w:p>
      <w:pPr>
        <w:ind w:right="140" w:firstLine="6"/>
        <w:spacing w:after="0" w:line="270" w:lineRule="auto"/>
        <w:tabs>
          <w:tab w:leader="none" w:pos="607"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Statements</w:t>
      </w:r>
      <w:r>
        <w:rPr>
          <w:rFonts w:ascii="Arial" w:cs="Arial" w:eastAsia="Arial" w:hAnsi="Arial"/>
          <w:sz w:val="14"/>
          <w:szCs w:val="14"/>
          <w:color w:val="auto"/>
        </w:rPr>
        <w:t>. Upon request by a Participant, he or she will be provided with a statement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42" w:lineRule="exact"/>
        <w:rPr>
          <w:rFonts w:ascii="Arial" w:cs="Arial" w:eastAsia="Arial" w:hAnsi="Arial"/>
          <w:sz w:val="14"/>
          <w:szCs w:val="14"/>
          <w:color w:val="auto"/>
        </w:rPr>
      </w:pPr>
    </w:p>
    <w:p>
      <w:pPr>
        <w:ind w:right="140" w:firstLine="6"/>
        <w:spacing w:after="0" w:line="285" w:lineRule="auto"/>
        <w:tabs>
          <w:tab w:leader="none" w:pos="607"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Designation of Beneficiary</w:t>
      </w:r>
      <w:r>
        <w:rPr>
          <w:rFonts w:ascii="Arial" w:cs="Arial" w:eastAsia="Arial" w:hAnsi="Arial"/>
          <w:sz w:val="14"/>
          <w:szCs w:val="14"/>
          <w:color w:val="auto"/>
        </w:rPr>
        <w:t>.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131" w:lineRule="exact"/>
        <w:rPr>
          <w:rFonts w:ascii="Arial" w:cs="Arial" w:eastAsia="Arial" w:hAnsi="Arial"/>
          <w:sz w:val="14"/>
          <w:szCs w:val="14"/>
          <w:color w:val="auto"/>
        </w:rPr>
      </w:pPr>
    </w:p>
    <w:p>
      <w:pPr>
        <w:ind w:left="620" w:hanging="614"/>
        <w:spacing w:after="0"/>
        <w:tabs>
          <w:tab w:leader="none" w:pos="620"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Adjustments; Dissolution or Liquidation; Corporate Transactions</w:t>
      </w:r>
      <w:r>
        <w:rPr>
          <w:rFonts w:ascii="Arial" w:cs="Arial" w:eastAsia="Arial" w:hAnsi="Arial"/>
          <w:sz w:val="14"/>
          <w:szCs w:val="14"/>
          <w:color w:val="auto"/>
        </w:rPr>
        <w:t>.</w:t>
      </w:r>
    </w:p>
    <w:p>
      <w:pPr>
        <w:spacing w:after="0" w:line="182" w:lineRule="exact"/>
        <w:rPr>
          <w:sz w:val="20"/>
          <w:szCs w:val="20"/>
          <w:color w:val="auto"/>
        </w:rPr>
      </w:pPr>
    </w:p>
    <w:p>
      <w:pPr>
        <w:ind w:firstLine="514"/>
        <w:spacing w:after="0" w:line="262" w:lineRule="auto"/>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u w:val="single" w:color="auto"/>
          <w:color w:val="auto"/>
        </w:rPr>
        <w:t>Adjustments</w:t>
      </w:r>
      <w:r>
        <w:rPr>
          <w:rFonts w:ascii="Arial" w:cs="Arial" w:eastAsia="Arial" w:hAnsi="Arial"/>
          <w:sz w:val="14"/>
          <w:szCs w:val="14"/>
          <w:color w:val="auto"/>
        </w:rPr>
        <w:t xml:space="preserve">. In the event that any dividend or other distribution (whether in the form of cash, Common Stock, or other property), recapitalization, stock split, reverse stock split, reorganization, merger, consolidation, split-up, spin-off,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13</w:t>
      </w:r>
      <w:r>
        <w:rPr>
          <w:rFonts w:ascii="Arial" w:cs="Arial" w:eastAsia="Arial" w:hAnsi="Arial"/>
          <w:sz w:val="14"/>
          <w:szCs w:val="14"/>
          <w:color w:val="auto"/>
        </w:rPr>
        <w:t>.</w:t>
      </w:r>
    </w:p>
    <w:p>
      <w:pPr>
        <w:spacing w:after="0" w:line="149" w:lineRule="exact"/>
        <w:rPr>
          <w:sz w:val="20"/>
          <w:szCs w:val="20"/>
          <w:color w:val="auto"/>
        </w:rPr>
      </w:pPr>
    </w:p>
    <w:p>
      <w:pPr>
        <w:ind w:right="40" w:firstLine="514"/>
        <w:spacing w:after="0" w:line="265" w:lineRule="auto"/>
        <w:rPr>
          <w:sz w:val="20"/>
          <w:szCs w:val="20"/>
          <w:color w:val="auto"/>
        </w:rPr>
      </w:pPr>
      <w:r>
        <w:rPr>
          <w:rFonts w:ascii="Arial" w:cs="Arial" w:eastAsia="Arial" w:hAnsi="Arial"/>
          <w:sz w:val="14"/>
          <w:szCs w:val="14"/>
          <w:color w:val="auto"/>
        </w:rPr>
        <w:t xml:space="preserve">18.2. </w:t>
      </w:r>
      <w:r>
        <w:rPr>
          <w:rFonts w:ascii="Arial" w:cs="Arial" w:eastAsia="Arial" w:hAnsi="Arial"/>
          <w:sz w:val="14"/>
          <w:szCs w:val="14"/>
          <w:u w:val="single" w:color="auto"/>
          <w:color w:val="auto"/>
        </w:rPr>
        <w:t>Dissolution or Liquidation</w:t>
      </w:r>
      <w:r>
        <w:rPr>
          <w:rFonts w:ascii="Arial" w:cs="Arial" w:eastAsia="Arial" w:hAnsi="Arial"/>
          <w:sz w:val="14"/>
          <w:szCs w:val="14"/>
          <w:color w:val="auto"/>
        </w:rPr>
        <w:t xml:space="preserve">. Unless otherwise determined by the Committee, in the event of a proposed dissolution or liquidation of the Company, any Offering Period then in progress will be shortened by setting a new Purchase Date that occurs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w:t>
      </w:r>
      <w:r>
        <w:rPr>
          <w:rFonts w:ascii="Arial" w:cs="Arial" w:eastAsia="Arial" w:hAnsi="Arial"/>
          <w:sz w:val="14"/>
          <w:szCs w:val="14"/>
          <w:u w:val="single" w:color="auto"/>
          <w:color w:val="auto"/>
        </w:rPr>
        <w:t>Section 10</w:t>
      </w:r>
      <w:r>
        <w:rPr>
          <w:rFonts w:ascii="Arial" w:cs="Arial" w:eastAsia="Arial" w:hAnsi="Arial"/>
          <w:sz w:val="14"/>
          <w:szCs w:val="14"/>
          <w:color w:val="auto"/>
        </w:rPr>
        <w:t>.</w:t>
      </w: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180"/>
          </w:cols>
          <w:pgMar w:left="300" w:top="750" w:right="419" w:bottom="1440" w:gutter="0" w:footer="0" w:header="0"/>
        </w:sectPr>
      </w:pPr>
    </w:p>
    <w:bookmarkStart w:id="385" w:name="page386"/>
    <w:bookmarkEnd w:id="385"/>
    <w:p>
      <w:pPr>
        <w:ind w:right="100" w:firstLine="514"/>
        <w:spacing w:after="0" w:line="262" w:lineRule="auto"/>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u w:val="single" w:color="auto"/>
          <w:color w:val="auto"/>
        </w:rPr>
        <w:t>Corporate Transaction</w:t>
      </w:r>
      <w:r>
        <w:rPr>
          <w:rFonts w:ascii="Arial" w:cs="Arial" w:eastAsia="Arial" w:hAnsi="Arial"/>
          <w:sz w:val="14"/>
          <w:szCs w:val="14"/>
          <w:color w:val="auto"/>
        </w:rPr>
        <w:t xml:space="preserve">.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w:t>
      </w:r>
      <w:r>
        <w:rPr>
          <w:rFonts w:ascii="Arial" w:cs="Arial" w:eastAsia="Arial" w:hAnsi="Arial"/>
          <w:sz w:val="14"/>
          <w:szCs w:val="14"/>
          <w:u w:val="single" w:color="auto"/>
          <w:color w:val="auto"/>
        </w:rPr>
        <w:t>Section 10</w:t>
      </w:r>
      <w:r>
        <w:rPr>
          <w:rFonts w:ascii="Arial" w:cs="Arial" w:eastAsia="Arial" w:hAnsi="Arial"/>
          <w:sz w:val="14"/>
          <w:szCs w:val="14"/>
          <w:color w:val="auto"/>
        </w:rPr>
        <w:t>.</w:t>
      </w:r>
    </w:p>
    <w:p>
      <w:pPr>
        <w:spacing w:after="0" w:line="149" w:lineRule="exact"/>
        <w:rPr>
          <w:sz w:val="20"/>
          <w:szCs w:val="20"/>
          <w:color w:val="auto"/>
        </w:rPr>
      </w:pPr>
    </w:p>
    <w:p>
      <w:pPr>
        <w:ind w:left="620" w:hanging="614"/>
        <w:spacing w:after="0"/>
        <w:tabs>
          <w:tab w:leader="none" w:pos="620" w:val="left"/>
        </w:tabs>
        <w:numPr>
          <w:ilvl w:val="0"/>
          <w:numId w:val="249"/>
        </w:numPr>
        <w:rPr>
          <w:rFonts w:ascii="Arial" w:cs="Arial" w:eastAsia="Arial" w:hAnsi="Arial"/>
          <w:sz w:val="14"/>
          <w:szCs w:val="14"/>
          <w:color w:val="auto"/>
        </w:rPr>
      </w:pPr>
      <w:r>
        <w:rPr>
          <w:rFonts w:ascii="Arial" w:cs="Arial" w:eastAsia="Arial" w:hAnsi="Arial"/>
          <w:sz w:val="14"/>
          <w:szCs w:val="14"/>
          <w:u w:val="single" w:color="auto"/>
          <w:color w:val="auto"/>
        </w:rPr>
        <w:t>General Provisions</w:t>
      </w:r>
      <w:r>
        <w:rPr>
          <w:rFonts w:ascii="Arial" w:cs="Arial" w:eastAsia="Arial" w:hAnsi="Arial"/>
          <w:sz w:val="14"/>
          <w:szCs w:val="14"/>
          <w:color w:val="auto"/>
        </w:rPr>
        <w:t>.</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19.1. </w:t>
      </w:r>
      <w:r>
        <w:rPr>
          <w:rFonts w:ascii="Arial" w:cs="Arial" w:eastAsia="Arial" w:hAnsi="Arial"/>
          <w:sz w:val="14"/>
          <w:szCs w:val="14"/>
          <w:u w:val="single" w:color="auto"/>
          <w:color w:val="auto"/>
        </w:rPr>
        <w:t>Equal Rights and Privileges</w:t>
      </w:r>
      <w:r>
        <w:rPr>
          <w:rFonts w:ascii="Arial" w:cs="Arial" w:eastAsia="Arial" w:hAnsi="Arial"/>
          <w:sz w:val="14"/>
          <w:szCs w:val="14"/>
          <w:color w:val="auto"/>
        </w:rPr>
        <w:t>. Notwithstanding any provision of the Plan to the contrary and in accordance with Section 423 of the Code, all Eligible Employees who are granted options under the Plan shall have the same rights and privileges.</w:t>
      </w:r>
    </w:p>
    <w:p>
      <w:pPr>
        <w:spacing w:after="0" w:line="13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4"/>
          <w:szCs w:val="14"/>
          <w:color w:val="auto"/>
        </w:rPr>
        <w:t>19.2.</w:t>
      </w:r>
      <w:r>
        <w:rPr>
          <w:sz w:val="20"/>
          <w:szCs w:val="20"/>
          <w:color w:val="auto"/>
        </w:rPr>
        <w:tab/>
      </w:r>
      <w:r>
        <w:rPr>
          <w:rFonts w:ascii="Arial" w:cs="Arial" w:eastAsia="Arial" w:hAnsi="Arial"/>
          <w:sz w:val="12"/>
          <w:szCs w:val="12"/>
          <w:u w:val="single" w:color="auto"/>
          <w:color w:val="auto"/>
        </w:rPr>
        <w:t>No Right to Continued Service</w:t>
      </w:r>
      <w:r>
        <w:rPr>
          <w:rFonts w:ascii="Arial" w:cs="Arial" w:eastAsia="Arial" w:hAnsi="Arial"/>
          <w:sz w:val="12"/>
          <w:szCs w:val="12"/>
          <w:color w:val="auto"/>
        </w:rPr>
        <w:t>. Neither the Plan nor any compensation paid hereunder will confer on any Participant the right to continue as an Employee or in any other</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capacity.</w:t>
      </w:r>
    </w:p>
    <w:p>
      <w:pPr>
        <w:spacing w:after="0" w:line="172" w:lineRule="exact"/>
        <w:rPr>
          <w:sz w:val="20"/>
          <w:szCs w:val="20"/>
          <w:color w:val="auto"/>
        </w:rPr>
      </w:pPr>
    </w:p>
    <w:p>
      <w:pPr>
        <w:ind w:right="340" w:firstLine="514"/>
        <w:spacing w:after="0" w:line="285" w:lineRule="auto"/>
        <w:rPr>
          <w:sz w:val="20"/>
          <w:szCs w:val="20"/>
          <w:color w:val="auto"/>
        </w:rPr>
      </w:pPr>
      <w:r>
        <w:rPr>
          <w:rFonts w:ascii="Arial" w:cs="Arial" w:eastAsia="Arial" w:hAnsi="Arial"/>
          <w:sz w:val="14"/>
          <w:szCs w:val="14"/>
          <w:color w:val="auto"/>
        </w:rPr>
        <w:t xml:space="preserve">19.3. </w:t>
      </w:r>
      <w:r>
        <w:rPr>
          <w:rFonts w:ascii="Arial" w:cs="Arial" w:eastAsia="Arial" w:hAnsi="Arial"/>
          <w:sz w:val="14"/>
          <w:szCs w:val="14"/>
          <w:u w:val="single" w:color="auto"/>
          <w:color w:val="auto"/>
        </w:rPr>
        <w:t>Rights as Shareholder</w:t>
      </w:r>
      <w:r>
        <w:rPr>
          <w:rFonts w:ascii="Arial" w:cs="Arial" w:eastAsia="Arial" w:hAnsi="Arial"/>
          <w:sz w:val="14"/>
          <w:szCs w:val="14"/>
          <w:color w:val="auto"/>
        </w:rPr>
        <w:t>. A Participant will become a shareholder with respect to the shares of Common Stock that are purchased pursuant to options granted under the Plan when the shares are transferred to the Participant’s ESPP Share Account.</w:t>
      </w:r>
    </w:p>
    <w:p>
      <w:pPr>
        <w:spacing w:after="0" w:line="132"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4"/>
          <w:szCs w:val="14"/>
          <w:color w:val="auto"/>
        </w:rPr>
        <w:t>19.4.</w:t>
      </w:r>
      <w:r>
        <w:rPr>
          <w:sz w:val="20"/>
          <w:szCs w:val="20"/>
          <w:color w:val="auto"/>
        </w:rPr>
        <w:tab/>
      </w:r>
      <w:r>
        <w:rPr>
          <w:rFonts w:ascii="Arial" w:cs="Arial" w:eastAsia="Arial" w:hAnsi="Arial"/>
          <w:sz w:val="12"/>
          <w:szCs w:val="12"/>
          <w:u w:val="single" w:color="auto"/>
          <w:color w:val="auto"/>
        </w:rPr>
        <w:t>Successors</w:t>
      </w:r>
      <w:r>
        <w:rPr>
          <w:rFonts w:ascii="Arial" w:cs="Arial" w:eastAsia="Arial" w:hAnsi="Arial"/>
          <w:sz w:val="12"/>
          <w:szCs w:val="12"/>
          <w:color w:val="auto"/>
        </w:rPr>
        <w:t>. The Plan shall be binding on the Company and its successors.</w:t>
      </w:r>
    </w:p>
    <w:p>
      <w:pPr>
        <w:spacing w:after="0" w:line="182" w:lineRule="exact"/>
        <w:rPr>
          <w:sz w:val="20"/>
          <w:szCs w:val="20"/>
          <w:color w:val="auto"/>
        </w:rPr>
      </w:pPr>
    </w:p>
    <w:p>
      <w:pPr>
        <w:ind w:right="140" w:firstLine="514"/>
        <w:spacing w:after="0" w:line="265" w:lineRule="auto"/>
        <w:rPr>
          <w:sz w:val="20"/>
          <w:szCs w:val="20"/>
          <w:color w:val="auto"/>
        </w:rPr>
      </w:pPr>
      <w:r>
        <w:rPr>
          <w:rFonts w:ascii="Arial" w:cs="Arial" w:eastAsia="Arial" w:hAnsi="Arial"/>
          <w:sz w:val="14"/>
          <w:szCs w:val="14"/>
          <w:color w:val="auto"/>
        </w:rPr>
        <w:t xml:space="preserve">19.5. </w:t>
      </w:r>
      <w:r>
        <w:rPr>
          <w:rFonts w:ascii="Arial" w:cs="Arial" w:eastAsia="Arial" w:hAnsi="Arial"/>
          <w:sz w:val="14"/>
          <w:szCs w:val="14"/>
          <w:u w:val="single" w:color="auto"/>
          <w:color w:val="auto"/>
        </w:rPr>
        <w:t>Compliance with Law</w:t>
      </w:r>
      <w:r>
        <w:rPr>
          <w:rFonts w:ascii="Arial" w:cs="Arial" w:eastAsia="Arial" w:hAnsi="Arial"/>
          <w:sz w:val="14"/>
          <w:szCs w:val="14"/>
          <w:color w:val="auto"/>
        </w:rPr>
        <w:t>. The obligations of the Company with respect to payments under the Plan are subject to compliance with all applicable laws and regulations. Common Stock shall not be issued with respect to an option granted under the Plan unless the issuance and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146" w:lineRule="exact"/>
        <w:rPr>
          <w:sz w:val="20"/>
          <w:szCs w:val="20"/>
          <w:color w:val="auto"/>
        </w:rPr>
      </w:pPr>
    </w:p>
    <w:p>
      <w:pPr>
        <w:ind w:right="100" w:firstLine="514"/>
        <w:spacing w:after="0" w:line="325" w:lineRule="auto"/>
        <w:rPr>
          <w:sz w:val="20"/>
          <w:szCs w:val="20"/>
          <w:color w:val="auto"/>
        </w:rPr>
      </w:pPr>
      <w:r>
        <w:rPr>
          <w:rFonts w:ascii="Arial" w:cs="Arial" w:eastAsia="Arial" w:hAnsi="Arial"/>
          <w:sz w:val="13"/>
          <w:szCs w:val="13"/>
          <w:color w:val="auto"/>
        </w:rPr>
        <w:t xml:space="preserve">19.6. </w:t>
      </w:r>
      <w:r>
        <w:rPr>
          <w:rFonts w:ascii="Arial" w:cs="Arial" w:eastAsia="Arial" w:hAnsi="Arial"/>
          <w:sz w:val="13"/>
          <w:szCs w:val="13"/>
          <w:u w:val="single" w:color="auto"/>
          <w:color w:val="auto"/>
        </w:rPr>
        <w:t>Notice of Disqualifying Dispositions</w:t>
      </w:r>
      <w:r>
        <w:rPr>
          <w:rFonts w:ascii="Arial" w:cs="Arial" w:eastAsia="Arial" w:hAnsi="Arial"/>
          <w:sz w:val="13"/>
          <w:szCs w:val="13"/>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09" w:lineRule="exact"/>
        <w:rPr>
          <w:sz w:val="20"/>
          <w:szCs w:val="20"/>
          <w:color w:val="auto"/>
        </w:rPr>
      </w:pPr>
    </w:p>
    <w:p>
      <w:pPr>
        <w:ind w:left="520"/>
        <w:spacing w:after="0"/>
        <w:tabs>
          <w:tab w:leader="none" w:pos="1220" w:val="left"/>
        </w:tabs>
        <w:rPr>
          <w:sz w:val="20"/>
          <w:szCs w:val="20"/>
          <w:color w:val="auto"/>
        </w:rPr>
      </w:pPr>
      <w:r>
        <w:rPr>
          <w:rFonts w:ascii="Arial" w:cs="Arial" w:eastAsia="Arial" w:hAnsi="Arial"/>
          <w:sz w:val="14"/>
          <w:szCs w:val="14"/>
          <w:color w:val="auto"/>
        </w:rPr>
        <w:t>19.7.</w:t>
      </w:r>
      <w:r>
        <w:rPr>
          <w:sz w:val="20"/>
          <w:szCs w:val="20"/>
          <w:color w:val="auto"/>
        </w:rPr>
        <w:tab/>
      </w:r>
      <w:r>
        <w:rPr>
          <w:rFonts w:ascii="Arial" w:cs="Arial" w:eastAsia="Arial" w:hAnsi="Arial"/>
          <w:sz w:val="12"/>
          <w:szCs w:val="12"/>
          <w:u w:val="single" w:color="auto"/>
          <w:color w:val="auto"/>
        </w:rPr>
        <w:t>Term of Plan</w:t>
      </w:r>
      <w:r>
        <w:rPr>
          <w:rFonts w:ascii="Arial" w:cs="Arial" w:eastAsia="Arial" w:hAnsi="Arial"/>
          <w:sz w:val="12"/>
          <w:szCs w:val="12"/>
          <w:color w:val="auto"/>
        </w:rPr>
        <w:t>. The Plan shall become effective on the Effective Date and, unless terminated earlier pursuant to</w:t>
      </w:r>
      <w:r>
        <w:rPr>
          <w:rFonts w:ascii="Arial" w:cs="Arial" w:eastAsia="Arial" w:hAnsi="Arial"/>
          <w:sz w:val="12"/>
          <w:szCs w:val="12"/>
          <w:u w:val="single" w:color="auto"/>
          <w:color w:val="auto"/>
        </w:rPr>
        <w:t xml:space="preserve"> Section 19.8</w:t>
      </w:r>
      <w:r>
        <w:rPr>
          <w:rFonts w:ascii="Arial" w:cs="Arial" w:eastAsia="Arial" w:hAnsi="Arial"/>
          <w:sz w:val="12"/>
          <w:szCs w:val="12"/>
          <w:color w:val="auto"/>
        </w:rPr>
        <w:t>, shall have a term of ten (10) years.</w:t>
      </w:r>
    </w:p>
    <w:p>
      <w:pPr>
        <w:spacing w:after="0" w:line="182" w:lineRule="exact"/>
        <w:rPr>
          <w:sz w:val="20"/>
          <w:szCs w:val="20"/>
          <w:color w:val="auto"/>
        </w:rPr>
      </w:pPr>
    </w:p>
    <w:p>
      <w:pPr>
        <w:ind w:right="340" w:firstLine="514"/>
        <w:spacing w:after="0" w:line="325" w:lineRule="auto"/>
        <w:rPr>
          <w:sz w:val="20"/>
          <w:szCs w:val="20"/>
          <w:color w:val="auto"/>
        </w:rPr>
      </w:pPr>
      <w:r>
        <w:rPr>
          <w:rFonts w:ascii="Arial" w:cs="Arial" w:eastAsia="Arial" w:hAnsi="Arial"/>
          <w:sz w:val="13"/>
          <w:szCs w:val="13"/>
          <w:color w:val="auto"/>
        </w:rPr>
        <w:t xml:space="preserve">19.8. </w:t>
      </w:r>
      <w:r>
        <w:rPr>
          <w:rFonts w:ascii="Arial" w:cs="Arial" w:eastAsia="Arial" w:hAnsi="Arial"/>
          <w:sz w:val="13"/>
          <w:szCs w:val="13"/>
          <w:u w:val="single" w:color="auto"/>
          <w:color w:val="auto"/>
        </w:rPr>
        <w:t>Amendment or Termination</w:t>
      </w:r>
      <w:r>
        <w:rPr>
          <w:rFonts w:ascii="Arial" w:cs="Arial" w:eastAsia="Arial" w:hAnsi="Arial"/>
          <w:sz w:val="13"/>
          <w:szCs w:val="13"/>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color w:val="auto"/>
        </w:rPr>
        <w:t>discretion of the Committee, be accelerated) and all amounts that have not been used to purchase shares of Common Stock will then be returned to Participants.</w:t>
      </w:r>
    </w:p>
    <w:p>
      <w:pPr>
        <w:spacing w:after="0" w:line="18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19.9. </w:t>
      </w:r>
      <w:r>
        <w:rPr>
          <w:rFonts w:ascii="Arial" w:cs="Arial" w:eastAsia="Arial" w:hAnsi="Arial"/>
          <w:sz w:val="14"/>
          <w:szCs w:val="14"/>
          <w:u w:val="single" w:color="auto"/>
          <w:color w:val="auto"/>
        </w:rPr>
        <w:t>Applicable Law</w:t>
      </w:r>
      <w:r>
        <w:rPr>
          <w:rFonts w:ascii="Arial" w:cs="Arial" w:eastAsia="Arial" w:hAnsi="Arial"/>
          <w:sz w:val="14"/>
          <w:szCs w:val="14"/>
          <w:color w:val="auto"/>
        </w:rPr>
        <w:t>. The laws of the State of Delaware shall govern all questions concerning the construction, validity and interpretation of the Plan, without regard to such state’s conflict of law rules.</w:t>
      </w:r>
    </w:p>
    <w:p>
      <w:pPr>
        <w:spacing w:after="0" w:line="13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4"/>
          <w:szCs w:val="14"/>
          <w:color w:val="auto"/>
        </w:rPr>
        <w:t>19.10.</w:t>
      </w:r>
      <w:r>
        <w:rPr>
          <w:sz w:val="20"/>
          <w:szCs w:val="20"/>
          <w:color w:val="auto"/>
        </w:rPr>
        <w:tab/>
      </w:r>
      <w:r>
        <w:rPr>
          <w:rFonts w:ascii="Arial" w:cs="Arial" w:eastAsia="Arial" w:hAnsi="Arial"/>
          <w:sz w:val="12"/>
          <w:szCs w:val="12"/>
          <w:u w:val="single" w:color="auto"/>
          <w:color w:val="auto"/>
        </w:rPr>
        <w:t>Shareholder Approval</w:t>
      </w:r>
      <w:r>
        <w:rPr>
          <w:rFonts w:ascii="Arial" w:cs="Arial" w:eastAsia="Arial" w:hAnsi="Arial"/>
          <w:sz w:val="12"/>
          <w:szCs w:val="12"/>
          <w:color w:val="auto"/>
        </w:rPr>
        <w:t>. The Plan shall be subject to approval by the shareholders of the Company within twelve (12) months before or after the date the Plan is adopted by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Board.</w:t>
      </w:r>
    </w:p>
    <w:p>
      <w:pPr>
        <w:spacing w:after="0" w:line="172" w:lineRule="exact"/>
        <w:rPr>
          <w:sz w:val="20"/>
          <w:szCs w:val="20"/>
          <w:color w:val="auto"/>
        </w:rPr>
      </w:pPr>
    </w:p>
    <w:p>
      <w:pPr>
        <w:ind w:firstLine="514"/>
        <w:spacing w:after="0" w:line="285" w:lineRule="auto"/>
        <w:rPr>
          <w:sz w:val="20"/>
          <w:szCs w:val="20"/>
          <w:color w:val="auto"/>
        </w:rPr>
      </w:pPr>
      <w:r>
        <w:rPr>
          <w:rFonts w:ascii="Arial" w:cs="Arial" w:eastAsia="Arial" w:hAnsi="Arial"/>
          <w:sz w:val="14"/>
          <w:szCs w:val="14"/>
          <w:color w:val="auto"/>
        </w:rPr>
        <w:t xml:space="preserve">19.11. </w:t>
      </w:r>
      <w:r>
        <w:rPr>
          <w:rFonts w:ascii="Arial" w:cs="Arial" w:eastAsia="Arial" w:hAnsi="Arial"/>
          <w:sz w:val="14"/>
          <w:szCs w:val="14"/>
          <w:u w:val="single" w:color="auto"/>
          <w:color w:val="auto"/>
        </w:rPr>
        <w:t>Section 423 of the Code</w:t>
      </w:r>
      <w:r>
        <w:rPr>
          <w:rFonts w:ascii="Arial" w:cs="Arial" w:eastAsia="Arial" w:hAnsi="Arial"/>
          <w:sz w:val="14"/>
          <w:szCs w:val="14"/>
          <w:color w:val="auto"/>
        </w:rPr>
        <w:t xml:space="preserve">. The Plan is intended to qualify as an employee stock purchase plan under Section 423 of the Code and will be interpreted accordingly;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does not guarantee any particular tax treatment with respect to an option granted under this Plan.</w:t>
      </w:r>
    </w:p>
    <w:p>
      <w:pPr>
        <w:spacing w:after="0" w:line="132" w:lineRule="exact"/>
        <w:rPr>
          <w:sz w:val="20"/>
          <w:szCs w:val="20"/>
          <w:color w:val="auto"/>
        </w:rPr>
      </w:pPr>
    </w:p>
    <w:p>
      <w:pPr>
        <w:ind w:right="40" w:firstLine="514"/>
        <w:spacing w:after="0" w:line="270" w:lineRule="auto"/>
        <w:rPr>
          <w:sz w:val="20"/>
          <w:szCs w:val="20"/>
          <w:color w:val="auto"/>
        </w:rPr>
      </w:pPr>
      <w:r>
        <w:rPr>
          <w:rFonts w:ascii="Arial" w:cs="Arial" w:eastAsia="Arial" w:hAnsi="Arial"/>
          <w:sz w:val="14"/>
          <w:szCs w:val="14"/>
          <w:color w:val="auto"/>
        </w:rPr>
        <w:t xml:space="preserve">19.12. </w:t>
      </w:r>
      <w:r>
        <w:rPr>
          <w:rFonts w:ascii="Arial" w:cs="Arial" w:eastAsia="Arial" w:hAnsi="Arial"/>
          <w:sz w:val="14"/>
          <w:szCs w:val="14"/>
          <w:u w:val="single" w:color="auto"/>
          <w:color w:val="auto"/>
        </w:rPr>
        <w:t>Withholding</w:t>
      </w:r>
      <w:r>
        <w:rPr>
          <w:rFonts w:ascii="Arial" w:cs="Arial" w:eastAsia="Arial" w:hAnsi="Arial"/>
          <w:sz w:val="14"/>
          <w:szCs w:val="14"/>
          <w:color w:val="auto"/>
        </w:rPr>
        <w:t>. To the extent required by applicable federal, state or local law, a Participant must make arrangements satisfactory to the Company for the payment of any withholding or similar tax obligations that arise in connection with the Plan. At any time, the Company may, but shall not be obligated to, withhold from the Participant’s compensation the amount necessary for the Company to meet applicable withholding obligations.</w:t>
      </w:r>
    </w:p>
    <w:p>
      <w:pPr>
        <w:spacing w:after="0" w:line="142" w:lineRule="exact"/>
        <w:rPr>
          <w:sz w:val="20"/>
          <w:szCs w:val="20"/>
          <w:color w:val="auto"/>
        </w:rPr>
      </w:pPr>
    </w:p>
    <w:p>
      <w:pPr>
        <w:ind w:right="160" w:firstLine="514"/>
        <w:spacing w:after="0" w:line="285" w:lineRule="auto"/>
        <w:rPr>
          <w:sz w:val="20"/>
          <w:szCs w:val="20"/>
          <w:color w:val="auto"/>
        </w:rPr>
      </w:pPr>
      <w:r>
        <w:rPr>
          <w:rFonts w:ascii="Arial" w:cs="Arial" w:eastAsia="Arial" w:hAnsi="Arial"/>
          <w:sz w:val="14"/>
          <w:szCs w:val="14"/>
          <w:color w:val="auto"/>
        </w:rPr>
        <w:t xml:space="preserve">19.13.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32"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4"/>
          <w:szCs w:val="14"/>
          <w:color w:val="auto"/>
        </w:rPr>
        <w:t>19.14.</w:t>
      </w:r>
      <w:r>
        <w:rPr>
          <w:sz w:val="20"/>
          <w:szCs w:val="20"/>
          <w:color w:val="auto"/>
        </w:rPr>
        <w:tab/>
      </w:r>
      <w:r>
        <w:rPr>
          <w:rFonts w:ascii="Arial" w:cs="Arial" w:eastAsia="Arial" w:hAnsi="Arial"/>
          <w:sz w:val="12"/>
          <w:szCs w:val="12"/>
          <w:u w:val="single" w:color="auto"/>
          <w:color w:val="auto"/>
        </w:rPr>
        <w:t>Headings</w:t>
      </w:r>
      <w:r>
        <w:rPr>
          <w:rFonts w:ascii="Arial" w:cs="Arial" w:eastAsia="Arial" w:hAnsi="Arial"/>
          <w:sz w:val="12"/>
          <w:szCs w:val="12"/>
          <w:color w:val="auto"/>
        </w:rPr>
        <w:t>. The headings of sections herein are included solely for convenience and shall not affect the meaning of any of the provisions of the Plan.</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89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20"/>
          </w:cols>
          <w:pgMar w:left="300" w:top="750" w:right="379" w:bottom="1440" w:gutter="0" w:footer="0" w:header="0"/>
        </w:sectPr>
      </w:pPr>
    </w:p>
    <w:bookmarkStart w:id="387" w:name="page388"/>
    <w:bookmarkEnd w:id="387"/>
    <w:p>
      <w:pPr>
        <w:jc w:val="right"/>
        <w:spacing w:after="0"/>
        <w:rPr>
          <w:sz w:val="20"/>
          <w:szCs w:val="20"/>
          <w:color w:val="auto"/>
        </w:rPr>
      </w:pPr>
      <w:r>
        <w:rPr>
          <w:rFonts w:ascii="Arial" w:cs="Arial" w:eastAsia="Arial" w:hAnsi="Arial"/>
          <w:sz w:val="14"/>
          <w:szCs w:val="14"/>
          <w:b w:val="1"/>
          <w:bCs w:val="1"/>
          <w:color w:val="auto"/>
        </w:rPr>
        <w:t>EXHIBIT 10.33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LUIS BORGES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WHEREAS, Executive is currently employed by the Company as its Chief Scientific Officer in accordance with the terms and conditions of that certain offer letter by and between the Company and Executive dated February 15,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68" w:lineRule="exact"/>
        <w:rPr>
          <w:sz w:val="20"/>
          <w:szCs w:val="20"/>
          <w:color w:val="auto"/>
        </w:rPr>
      </w:pPr>
    </w:p>
    <w:p>
      <w:pPr>
        <w:jc w:val="both"/>
        <w:ind w:firstLine="6"/>
        <w:spacing w:after="0" w:line="289" w:lineRule="auto"/>
        <w:tabs>
          <w:tab w:leader="none" w:pos="339" w:val="left"/>
        </w:tabs>
        <w:numPr>
          <w:ilvl w:val="0"/>
          <w:numId w:val="250"/>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Scientific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27" w:lineRule="exact"/>
        <w:rPr>
          <w:rFonts w:ascii="Arial" w:cs="Arial" w:eastAsia="Arial" w:hAnsi="Arial"/>
          <w:sz w:val="13"/>
          <w:szCs w:val="13"/>
          <w:color w:val="auto"/>
        </w:rPr>
      </w:pPr>
    </w:p>
    <w:p>
      <w:pPr>
        <w:jc w:val="both"/>
        <w:ind w:firstLine="6"/>
        <w:spacing w:after="0" w:line="273" w:lineRule="auto"/>
        <w:tabs>
          <w:tab w:leader="none" w:pos="339" w:val="left"/>
        </w:tabs>
        <w:numPr>
          <w:ilvl w:val="0"/>
          <w:numId w:val="25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left="340" w:hanging="334"/>
        <w:spacing w:after="0"/>
        <w:tabs>
          <w:tab w:leader="none" w:pos="340" w:val="left"/>
        </w:tabs>
        <w:numPr>
          <w:ilvl w:val="0"/>
          <w:numId w:val="250"/>
        </w:numPr>
        <w:rPr>
          <w:rFonts w:ascii="Arial" w:cs="Arial" w:eastAsia="Arial" w:hAnsi="Arial"/>
          <w:sz w:val="13"/>
          <w:szCs w:val="13"/>
          <w:color w:val="auto"/>
        </w:rPr>
      </w:pPr>
      <w:r>
        <w:rPr>
          <w:rFonts w:ascii="Arial" w:cs="Arial" w:eastAsia="Arial" w:hAnsi="Arial"/>
          <w:sz w:val="13"/>
          <w:szCs w:val="13"/>
          <w:b w:val="1"/>
          <w:bCs w:val="1"/>
          <w:u w:val="single" w:color="auto"/>
          <w:color w:val="auto"/>
        </w:rPr>
        <w:t>Place of Performance</w:t>
      </w:r>
      <w:r>
        <w:rPr>
          <w:rFonts w:ascii="Arial" w:cs="Arial" w:eastAsia="Arial" w:hAnsi="Arial"/>
          <w:sz w:val="13"/>
          <w:szCs w:val="13"/>
          <w:color w:val="auto"/>
        </w:rPr>
        <w:t>. Executive will perform services hereunder at the principal executive offices of the Company in a location to be determined by the board of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485775</wp:posOffset>
            </wp:positionV>
            <wp:extent cx="716089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388" w:name="page389"/>
    <w:bookmarkEnd w:id="388"/>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82" w:lineRule="exact"/>
        <w:rPr>
          <w:sz w:val="20"/>
          <w:szCs w:val="20"/>
          <w:color w:val="auto"/>
        </w:rPr>
      </w:pPr>
    </w:p>
    <w:p>
      <w:pPr>
        <w:jc w:val="both"/>
        <w:ind w:firstLine="6"/>
        <w:spacing w:after="0" w:line="273" w:lineRule="auto"/>
        <w:tabs>
          <w:tab w:leader="none" w:pos="339" w:val="left"/>
        </w:tabs>
        <w:numPr>
          <w:ilvl w:val="0"/>
          <w:numId w:val="251"/>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$430,700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4" w:lineRule="auto"/>
        <w:tabs>
          <w:tab w:leader="none" w:pos="339" w:val="left"/>
        </w:tabs>
        <w:numPr>
          <w:ilvl w:val="0"/>
          <w:numId w:val="251"/>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2" w:lineRule="exact"/>
        <w:rPr>
          <w:rFonts w:ascii="Arial" w:cs="Arial" w:eastAsia="Arial" w:hAnsi="Arial"/>
          <w:sz w:val="14"/>
          <w:szCs w:val="14"/>
          <w:color w:val="auto"/>
        </w:rPr>
      </w:pPr>
    </w:p>
    <w:p>
      <w:pPr>
        <w:ind w:left="360" w:hanging="354"/>
        <w:spacing w:after="0"/>
        <w:tabs>
          <w:tab w:leader="none" w:pos="360" w:val="left"/>
        </w:tabs>
        <w:numPr>
          <w:ilvl w:val="0"/>
          <w:numId w:val="251"/>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1" w:lineRule="exact"/>
        <w:rPr>
          <w:rFonts w:ascii="Arial" w:cs="Arial" w:eastAsia="Arial" w:hAnsi="Arial"/>
          <w:sz w:val="14"/>
          <w:szCs w:val="14"/>
          <w:color w:val="auto"/>
        </w:rPr>
      </w:pPr>
    </w:p>
    <w:p>
      <w:pPr>
        <w:ind w:left="340" w:hanging="334"/>
        <w:spacing w:after="0"/>
        <w:tabs>
          <w:tab w:leader="none" w:pos="340" w:val="left"/>
        </w:tabs>
        <w:numPr>
          <w:ilvl w:val="0"/>
          <w:numId w:val="251"/>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69" w:val="left"/>
        </w:tabs>
        <w:numPr>
          <w:ilvl w:val="1"/>
          <w:numId w:val="251"/>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0"/>
        <w:spacing w:after="0" w:line="285" w:lineRule="auto"/>
        <w:tabs>
          <w:tab w:leader="none" w:pos="874" w:val="left"/>
        </w:tabs>
        <w:numPr>
          <w:ilvl w:val="1"/>
          <w:numId w:val="251"/>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25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92" w:lineRule="auto"/>
        <w:tabs>
          <w:tab w:leader="none" w:pos="869" w:val="left"/>
        </w:tabs>
        <w:numPr>
          <w:ilvl w:val="1"/>
          <w:numId w:val="251"/>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2" w:lineRule="exact"/>
        <w:rPr>
          <w:sz w:val="20"/>
          <w:szCs w:val="20"/>
          <w:color w:val="auto"/>
        </w:rPr>
      </w:pPr>
    </w:p>
    <w:p>
      <w:pPr>
        <w:ind w:firstLine="520"/>
        <w:spacing w:after="0" w:line="325" w:lineRule="auto"/>
        <w:tabs>
          <w:tab w:leader="none" w:pos="877" w:val="left"/>
        </w:tabs>
        <w:numPr>
          <w:ilvl w:val="1"/>
          <w:numId w:val="252"/>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9" w:lineRule="exact"/>
        <w:rPr>
          <w:rFonts w:ascii="Arial" w:cs="Arial" w:eastAsia="Arial" w:hAnsi="Arial"/>
          <w:sz w:val="13"/>
          <w:szCs w:val="13"/>
          <w:color w:val="auto"/>
        </w:rPr>
      </w:pPr>
    </w:p>
    <w:p>
      <w:pPr>
        <w:ind w:left="880" w:hanging="360"/>
        <w:spacing w:after="0"/>
        <w:tabs>
          <w:tab w:leader="none" w:pos="88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1" w:lineRule="exact"/>
        <w:rPr>
          <w:rFonts w:ascii="Arial" w:cs="Arial" w:eastAsia="Arial" w:hAnsi="Arial"/>
          <w:sz w:val="14"/>
          <w:szCs w:val="14"/>
          <w:color w:val="auto"/>
        </w:rPr>
      </w:pPr>
    </w:p>
    <w:p>
      <w:pPr>
        <w:jc w:val="both"/>
        <w:ind w:firstLine="520"/>
        <w:spacing w:after="0" w:line="265" w:lineRule="auto"/>
        <w:tabs>
          <w:tab w:leader="none" w:pos="877" w:val="left"/>
        </w:tabs>
        <w:numPr>
          <w:ilvl w:val="1"/>
          <w:numId w:val="252"/>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52"/>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8" w:lineRule="exact"/>
        <w:rPr>
          <w:rFonts w:ascii="Arial" w:cs="Arial" w:eastAsia="Arial" w:hAnsi="Arial"/>
          <w:sz w:val="14"/>
          <w:szCs w:val="14"/>
          <w:color w:val="auto"/>
        </w:rPr>
      </w:pPr>
    </w:p>
    <w:p>
      <w:pPr>
        <w:ind w:left="340" w:hanging="334"/>
        <w:spacing w:after="0"/>
        <w:tabs>
          <w:tab w:leader="none" w:pos="340" w:val="left"/>
        </w:tabs>
        <w:numPr>
          <w:ilvl w:val="0"/>
          <w:numId w:val="253"/>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firstLine="520"/>
        <w:spacing w:after="0" w:line="291" w:lineRule="auto"/>
        <w:tabs>
          <w:tab w:leader="none" w:pos="904" w:val="left"/>
        </w:tabs>
        <w:numPr>
          <w:ilvl w:val="1"/>
          <w:numId w:val="253"/>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 defined</w:t>
      </w:r>
      <w:r>
        <w:rPr>
          <w:rFonts w:ascii="Arial" w:cs="Arial" w:eastAsia="Arial" w:hAnsi="Arial"/>
          <w:sz w:val="14"/>
          <w:szCs w:val="14"/>
          <w:b w:val="1"/>
          <w:bCs w:val="1"/>
          <w:color w:val="auto"/>
        </w:rPr>
        <w:t xml:space="preserve"> </w:t>
      </w:r>
      <w:r>
        <w:rPr>
          <w:rFonts w:ascii="Arial" w:cs="Arial" w:eastAsia="Arial" w:hAnsi="Arial"/>
          <w:sz w:val="14"/>
          <w:szCs w:val="14"/>
          <w:color w:val="auto"/>
        </w:rPr>
        <w:t>below) or a resignation by Executive for Good Reason (as defined below):</w:t>
      </w:r>
    </w:p>
    <w:p>
      <w:pPr>
        <w:spacing w:after="0" w:line="127" w:lineRule="exact"/>
        <w:rPr>
          <w:rFonts w:ascii="Arial" w:cs="Arial" w:eastAsia="Arial" w:hAnsi="Arial"/>
          <w:sz w:val="14"/>
          <w:szCs w:val="14"/>
          <w:color w:val="auto"/>
        </w:rPr>
      </w:pPr>
    </w:p>
    <w:p>
      <w:pPr>
        <w:ind w:firstLine="1034"/>
        <w:spacing w:after="0" w:line="285" w:lineRule="auto"/>
        <w:tabs>
          <w:tab w:leader="none" w:pos="1395" w:val="left"/>
        </w:tabs>
        <w:numPr>
          <w:ilvl w:val="2"/>
          <w:numId w:val="253"/>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34"/>
        <w:spacing w:after="0" w:line="285" w:lineRule="auto"/>
        <w:tabs>
          <w:tab w:leader="none" w:pos="1417" w:val="left"/>
        </w:tabs>
        <w:numPr>
          <w:ilvl w:val="2"/>
          <w:numId w:val="253"/>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34"/>
        <w:spacing w:after="0" w:line="270" w:lineRule="auto"/>
        <w:tabs>
          <w:tab w:leader="none" w:pos="1438" w:val="left"/>
        </w:tabs>
        <w:numPr>
          <w:ilvl w:val="2"/>
          <w:numId w:val="253"/>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90" w:name="page391"/>
    <w:bookmarkEnd w:id="390"/>
    <w:p>
      <w:pPr>
        <w:jc w:val="both"/>
        <w:ind w:firstLine="1034"/>
        <w:spacing w:after="0" w:line="300" w:lineRule="auto"/>
        <w:tabs>
          <w:tab w:leader="none" w:pos="142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34"/>
        <w:spacing w:after="0" w:line="270" w:lineRule="auto"/>
        <w:tabs>
          <w:tab w:leader="none" w:pos="1391"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Company and the expiration of all applicable statutory revocation periods, by the 60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3"/>
          <w:szCs w:val="13"/>
          <w:b w:val="1"/>
          <w:bCs w:val="1"/>
          <w:color w:val="auto"/>
        </w:rPr>
        <w:t>Release</w:t>
      </w:r>
      <w:r>
        <w:rPr>
          <w:rFonts w:ascii="Arial" w:cs="Arial" w:eastAsia="Arial" w:hAnsi="Arial"/>
          <w:sz w:val="13"/>
          <w:szCs w:val="13"/>
          <w:color w:val="auto"/>
        </w:rPr>
        <w:t>”) and on Executive’s continued compliance with the provisions of the Proprietary Information and Assignment Agreement (defined below).</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4" w:lineRule="exact"/>
        <w:rPr>
          <w:sz w:val="20"/>
          <w:szCs w:val="20"/>
          <w:color w:val="auto"/>
        </w:rPr>
      </w:pPr>
    </w:p>
    <w:p>
      <w:pPr>
        <w:ind w:firstLine="520"/>
        <w:spacing w:after="0" w:line="332" w:lineRule="auto"/>
        <w:tabs>
          <w:tab w:leader="none" w:pos="894" w:val="left"/>
        </w:tabs>
        <w:numPr>
          <w:ilvl w:val="0"/>
          <w:numId w:val="255"/>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91" w:name="page392"/>
    <w:bookmarkEnd w:id="391"/>
    <w:p>
      <w:pPr>
        <w:jc w:val="both"/>
        <w:spacing w:after="0" w:line="265"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2" w:lineRule="exact"/>
        <w:rPr>
          <w:sz w:val="20"/>
          <w:szCs w:val="20"/>
          <w:color w:val="auto"/>
        </w:rPr>
      </w:pPr>
    </w:p>
    <w:p>
      <w:pPr>
        <w:ind w:left="400" w:hanging="394"/>
        <w:spacing w:after="0"/>
        <w:tabs>
          <w:tab w:leader="none" w:pos="400" w:val="left"/>
        </w:tabs>
        <w:numPr>
          <w:ilvl w:val="0"/>
          <w:numId w:val="256"/>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86"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0"/>
        <w:spacing w:after="0" w:line="283" w:lineRule="auto"/>
        <w:tabs>
          <w:tab w:leader="none" w:pos="877" w:val="left"/>
        </w:tabs>
        <w:numPr>
          <w:ilvl w:val="1"/>
          <w:numId w:val="25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6" w:lineRule="exact"/>
        <w:rPr>
          <w:rFonts w:ascii="Arial" w:cs="Arial" w:eastAsia="Arial" w:hAnsi="Arial"/>
          <w:sz w:val="13"/>
          <w:szCs w:val="13"/>
          <w:color w:val="auto"/>
        </w:rPr>
      </w:pPr>
    </w:p>
    <w:p>
      <w:pPr>
        <w:jc w:val="both"/>
        <w:ind w:firstLine="520"/>
        <w:spacing w:after="0" w:line="287" w:lineRule="auto"/>
        <w:tabs>
          <w:tab w:leader="none" w:pos="869" w:val="left"/>
        </w:tabs>
        <w:numPr>
          <w:ilvl w:val="1"/>
          <w:numId w:val="256"/>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30" w:lineRule="exact"/>
        <w:rPr>
          <w:rFonts w:ascii="Arial" w:cs="Arial" w:eastAsia="Arial" w:hAnsi="Arial"/>
          <w:sz w:val="13"/>
          <w:szCs w:val="13"/>
          <w:color w:val="auto"/>
        </w:rPr>
      </w:pPr>
    </w:p>
    <w:p>
      <w:pPr>
        <w:ind w:firstLine="6"/>
        <w:spacing w:after="0" w:line="332" w:lineRule="auto"/>
        <w:tabs>
          <w:tab w:leader="none" w:pos="369" w:val="left"/>
        </w:tabs>
        <w:numPr>
          <w:ilvl w:val="0"/>
          <w:numId w:val="256"/>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92" w:name="page393"/>
    <w:bookmarkEnd w:id="392"/>
    <w:p>
      <w:pPr>
        <w:jc w:val="both"/>
        <w:spacing w:after="0" w:line="285"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0" w:lineRule="exact"/>
        <w:rPr>
          <w:sz w:val="20"/>
          <w:szCs w:val="20"/>
          <w:color w:val="auto"/>
        </w:rPr>
      </w:pPr>
    </w:p>
    <w:p>
      <w:pPr>
        <w:ind w:left="380" w:hanging="374"/>
        <w:spacing w:after="0"/>
        <w:tabs>
          <w:tab w:leader="none" w:pos="380" w:val="left"/>
        </w:tabs>
        <w:numPr>
          <w:ilvl w:val="0"/>
          <w:numId w:val="257"/>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1" w:lineRule="exact"/>
        <w:rPr>
          <w:rFonts w:ascii="Arial" w:cs="Arial" w:eastAsia="Arial" w:hAnsi="Arial"/>
          <w:sz w:val="14"/>
          <w:szCs w:val="14"/>
          <w:color w:val="auto"/>
        </w:rPr>
      </w:pPr>
    </w:p>
    <w:p>
      <w:pPr>
        <w:jc w:val="both"/>
        <w:ind w:firstLine="520"/>
        <w:spacing w:after="0" w:line="280" w:lineRule="auto"/>
        <w:tabs>
          <w:tab w:leader="none" w:pos="869" w:val="left"/>
        </w:tabs>
        <w:numPr>
          <w:ilvl w:val="1"/>
          <w:numId w:val="25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w:t>
      </w:r>
    </w:p>
    <w:p>
      <w:pPr>
        <w:spacing w:after="0" w:line="1" w:lineRule="exact"/>
        <w:rPr>
          <w:rFonts w:ascii="Arial" w:cs="Arial" w:eastAsia="Arial" w:hAnsi="Arial"/>
          <w:sz w:val="13"/>
          <w:szCs w:val="13"/>
          <w:color w:val="auto"/>
        </w:rPr>
      </w:pPr>
    </w:p>
    <w:p>
      <w:pPr>
        <w:jc w:val="both"/>
        <w:ind w:firstLine="6"/>
        <w:spacing w:after="0" w:line="275" w:lineRule="auto"/>
        <w:tabs>
          <w:tab w:leader="none" w:pos="179" w:val="left"/>
        </w:tabs>
        <w:numPr>
          <w:ilvl w:val="0"/>
          <w:numId w:val="258"/>
        </w:numPr>
        <w:rPr>
          <w:rFonts w:ascii="Arial" w:cs="Arial" w:eastAsia="Arial" w:hAnsi="Arial"/>
          <w:sz w:val="13"/>
          <w:szCs w:val="13"/>
          <w:color w:val="auto"/>
        </w:rPr>
      </w:pPr>
      <w:r>
        <w:rPr>
          <w:rFonts w:ascii="Arial" w:cs="Arial" w:eastAsia="Arial" w:hAnsi="Arial"/>
          <w:sz w:val="13"/>
          <w:szCs w:val="13"/>
          <w:color w:val="auto"/>
        </w:rPr>
        <w:t>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w:t>
      </w:r>
    </w:p>
    <w:p>
      <w:pPr>
        <w:jc w:val="both"/>
        <w:spacing w:after="0" w:line="283" w:lineRule="auto"/>
        <w:rPr>
          <w:rFonts w:ascii="Arial" w:cs="Arial" w:eastAsia="Arial" w:hAnsi="Arial"/>
          <w:sz w:val="13"/>
          <w:szCs w:val="13"/>
          <w:color w:val="auto"/>
        </w:rPr>
      </w:pPr>
      <w:r>
        <w:rPr>
          <w:rFonts w:ascii="Arial" w:cs="Arial" w:eastAsia="Arial" w:hAnsi="Arial"/>
          <w:sz w:val="13"/>
          <w:szCs w:val="13"/>
          <w:color w:val="auto"/>
        </w:rPr>
        <w:t xml:space="preserve">(v)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32" w:lineRule="exact"/>
        <w:rPr>
          <w:rFonts w:ascii="Arial" w:cs="Arial" w:eastAsia="Arial" w:hAnsi="Arial"/>
          <w:sz w:val="13"/>
          <w:szCs w:val="13"/>
          <w:color w:val="auto"/>
        </w:rPr>
      </w:pPr>
    </w:p>
    <w:p>
      <w:pPr>
        <w:ind w:left="880" w:hanging="360"/>
        <w:spacing w:after="0"/>
        <w:tabs>
          <w:tab w:leader="none" w:pos="88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93" w:name="page394"/>
    <w:bookmarkEnd w:id="393"/>
    <w:p>
      <w:pPr>
        <w:jc w:val="both"/>
        <w:spacing w:after="0" w:line="303"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0"/>
        <w:spacing w:after="0" w:line="264" w:lineRule="auto"/>
        <w:tabs>
          <w:tab w:leader="none" w:pos="887" w:val="left"/>
        </w:tabs>
        <w:numPr>
          <w:ilvl w:val="1"/>
          <w:numId w:val="2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2" w:lineRule="exact"/>
        <w:rPr>
          <w:rFonts w:ascii="Arial" w:cs="Arial" w:eastAsia="Arial" w:hAnsi="Arial"/>
          <w:sz w:val="14"/>
          <w:szCs w:val="14"/>
          <w:color w:val="auto"/>
        </w:rPr>
      </w:pPr>
    </w:p>
    <w:p>
      <w:pPr>
        <w:jc w:val="both"/>
        <w:ind w:firstLine="520"/>
        <w:spacing w:after="0" w:line="273" w:lineRule="auto"/>
        <w:tabs>
          <w:tab w:leader="none" w:pos="871" w:val="left"/>
        </w:tabs>
        <w:numPr>
          <w:ilvl w:val="1"/>
          <w:numId w:val="2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60"/>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2" w:lineRule="auto"/>
        <w:tabs>
          <w:tab w:leader="none" w:pos="375" w:val="left"/>
        </w:tabs>
        <w:numPr>
          <w:ilvl w:val="0"/>
          <w:numId w:val="260"/>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100" w:lineRule="exact"/>
        <w:rPr>
          <w:rFonts w:ascii="Arial" w:cs="Arial" w:eastAsia="Arial" w:hAnsi="Arial"/>
          <w:sz w:val="13"/>
          <w:szCs w:val="13"/>
          <w:color w:val="auto"/>
        </w:rPr>
      </w:pPr>
    </w:p>
    <w:p>
      <w:pPr>
        <w:ind w:firstLine="6"/>
        <w:spacing w:after="0" w:line="291" w:lineRule="auto"/>
        <w:tabs>
          <w:tab w:leader="none" w:pos="375" w:val="left"/>
        </w:tabs>
        <w:numPr>
          <w:ilvl w:val="0"/>
          <w:numId w:val="260"/>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3" w:lineRule="auto"/>
        <w:tabs>
          <w:tab w:leader="none" w:pos="375" w:val="left"/>
        </w:tabs>
        <w:numPr>
          <w:ilvl w:val="0"/>
          <w:numId w:val="260"/>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60"/>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94" w:name="page395"/>
    <w:bookmarkEnd w:id="394"/>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his compensation.</w:t>
      </w:r>
    </w:p>
    <w:p>
      <w:pPr>
        <w:spacing w:after="0" w:line="189" w:lineRule="exact"/>
        <w:rPr>
          <w:sz w:val="20"/>
          <w:szCs w:val="20"/>
          <w:color w:val="auto"/>
        </w:rPr>
      </w:pPr>
    </w:p>
    <w:p>
      <w:pPr>
        <w:ind w:left="380" w:hanging="374"/>
        <w:spacing w:after="0"/>
        <w:tabs>
          <w:tab w:leader="none" w:pos="380" w:val="left"/>
        </w:tabs>
        <w:numPr>
          <w:ilvl w:val="0"/>
          <w:numId w:val="261"/>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61"/>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2" w:lineRule="exact"/>
        <w:rPr>
          <w:rFonts w:ascii="Arial" w:cs="Arial" w:eastAsia="Arial" w:hAnsi="Arial"/>
          <w:sz w:val="14"/>
          <w:szCs w:val="14"/>
          <w:color w:val="auto"/>
        </w:rPr>
      </w:pPr>
    </w:p>
    <w:p>
      <w:pPr>
        <w:jc w:val="both"/>
        <w:ind w:firstLine="520"/>
        <w:spacing w:after="0" w:line="300" w:lineRule="auto"/>
        <w:tabs>
          <w:tab w:leader="none" w:pos="877" w:val="left"/>
        </w:tabs>
        <w:numPr>
          <w:ilvl w:val="1"/>
          <w:numId w:val="261"/>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60"/>
        <w:spacing w:after="0"/>
        <w:tabs>
          <w:tab w:leader="none" w:pos="880" w:val="left"/>
        </w:tabs>
        <w:numPr>
          <w:ilvl w:val="1"/>
          <w:numId w:val="261"/>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77" w:lineRule="exact"/>
        <w:rPr>
          <w:rFonts w:ascii="Arial" w:cs="Arial" w:eastAsia="Arial" w:hAnsi="Arial"/>
          <w:sz w:val="14"/>
          <w:szCs w:val="14"/>
          <w:color w:val="auto"/>
        </w:rPr>
      </w:pPr>
    </w:p>
    <w:p>
      <w:pPr>
        <w:ind w:left="400" w:hanging="394"/>
        <w:spacing w:after="0"/>
        <w:tabs>
          <w:tab w:leader="none" w:pos="400" w:val="left"/>
        </w:tabs>
        <w:numPr>
          <w:ilvl w:val="0"/>
          <w:numId w:val="261"/>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3" w:lineRule="exact"/>
        <w:rPr>
          <w:rFonts w:ascii="Arial" w:cs="Arial" w:eastAsia="Arial" w:hAnsi="Arial"/>
          <w:sz w:val="13"/>
          <w:szCs w:val="13"/>
          <w:color w:val="auto"/>
        </w:rPr>
      </w:pPr>
    </w:p>
    <w:p>
      <w:pPr>
        <w:jc w:val="both"/>
        <w:ind w:firstLine="6"/>
        <w:spacing w:after="0" w:line="260" w:lineRule="auto"/>
        <w:tabs>
          <w:tab w:leader="none" w:pos="392" w:val="left"/>
        </w:tabs>
        <w:numPr>
          <w:ilvl w:val="0"/>
          <w:numId w:val="261"/>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78" w:lineRule="exact"/>
        <w:rPr>
          <w:sz w:val="20"/>
          <w:szCs w:val="20"/>
          <w:color w:val="auto"/>
        </w:rPr>
      </w:pPr>
    </w:p>
    <w:p>
      <w:pPr>
        <w:ind w:left="400" w:hanging="394"/>
        <w:spacing w:after="0"/>
        <w:tabs>
          <w:tab w:leader="none" w:pos="400" w:val="left"/>
        </w:tabs>
        <w:numPr>
          <w:ilvl w:val="0"/>
          <w:numId w:val="262"/>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1" w:lineRule="exact"/>
        <w:rPr>
          <w:rFonts w:ascii="Arial" w:cs="Arial" w:eastAsia="Arial" w:hAnsi="Arial"/>
          <w:sz w:val="14"/>
          <w:szCs w:val="14"/>
          <w:color w:val="auto"/>
        </w:rPr>
      </w:pPr>
    </w:p>
    <w:p>
      <w:pPr>
        <w:jc w:val="both"/>
        <w:ind w:firstLine="6"/>
        <w:spacing w:after="0" w:line="262" w:lineRule="auto"/>
        <w:tabs>
          <w:tab w:leader="none" w:pos="392" w:val="left"/>
        </w:tabs>
        <w:numPr>
          <w:ilvl w:val="0"/>
          <w:numId w:val="262"/>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4" w:lineRule="exact"/>
        <w:rPr>
          <w:rFonts w:ascii="Arial" w:cs="Arial" w:eastAsia="Arial" w:hAnsi="Arial"/>
          <w:sz w:val="14"/>
          <w:szCs w:val="14"/>
          <w:color w:val="auto"/>
        </w:rPr>
      </w:pPr>
    </w:p>
    <w:p>
      <w:pPr>
        <w:ind w:firstLine="6"/>
        <w:spacing w:after="0" w:line="291" w:lineRule="auto"/>
        <w:tabs>
          <w:tab w:leader="none" w:pos="375" w:val="left"/>
        </w:tabs>
        <w:numPr>
          <w:ilvl w:val="0"/>
          <w:numId w:val="262"/>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one and the same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7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tbl>
      <w:tblPr>
        <w:tblLayout w:type="fixed"/>
        <w:tblInd w:w="512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Luis Borges, Ph.D.</w:t>
            </w:r>
          </w:p>
        </w:tc>
      </w:tr>
      <w:tr>
        <w:trPr>
          <w:trHeight w:val="34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Luis Borges,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Luis Borges, Ph.D.</w:t>
            </w:r>
          </w:p>
        </w:tc>
      </w:tr>
    </w:tbl>
    <w:p>
      <w:pPr>
        <w:spacing w:after="0" w:line="16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353060</wp:posOffset>
            </wp:positionV>
            <wp:extent cx="716089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4"/>
          <w:szCs w:val="14"/>
          <w:b w:val="1"/>
          <w:bCs w:val="1"/>
          <w:color w:val="auto"/>
        </w:rPr>
        <w:t>EXHIBIT 10.34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ADRIENNE FARID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WHEREAS, Executive is currently employed by the Company as its Chief Operations Officer in accordance with the terms and conditions of that certain offer letter by and between the Company and Executive dated January 29,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68" w:lineRule="exact"/>
        <w:rPr>
          <w:sz w:val="20"/>
          <w:szCs w:val="20"/>
          <w:color w:val="auto"/>
        </w:rPr>
      </w:pPr>
    </w:p>
    <w:p>
      <w:pPr>
        <w:jc w:val="both"/>
        <w:ind w:firstLine="6"/>
        <w:spacing w:after="0" w:line="289" w:lineRule="auto"/>
        <w:tabs>
          <w:tab w:leader="none" w:pos="339" w:val="left"/>
        </w:tabs>
        <w:numPr>
          <w:ilvl w:val="0"/>
          <w:numId w:val="263"/>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Operations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her full business time and best efforts to the performance of her duties and to the furtherance of the Company’s interests. Executive also agrees that during her employment with the Company, she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her duties and obligations to the Company.</w:t>
      </w:r>
    </w:p>
    <w:p>
      <w:pPr>
        <w:spacing w:after="0" w:line="127" w:lineRule="exact"/>
        <w:rPr>
          <w:rFonts w:ascii="Arial" w:cs="Arial" w:eastAsia="Arial" w:hAnsi="Arial"/>
          <w:sz w:val="13"/>
          <w:szCs w:val="13"/>
          <w:color w:val="auto"/>
        </w:rPr>
      </w:pPr>
    </w:p>
    <w:p>
      <w:pPr>
        <w:jc w:val="both"/>
        <w:ind w:firstLine="6"/>
        <w:spacing w:after="0" w:line="273" w:lineRule="auto"/>
        <w:tabs>
          <w:tab w:leader="none" w:pos="339" w:val="left"/>
        </w:tabs>
        <w:numPr>
          <w:ilvl w:val="0"/>
          <w:numId w:val="263"/>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left="340" w:hanging="334"/>
        <w:spacing w:after="0"/>
        <w:tabs>
          <w:tab w:leader="none" w:pos="340" w:val="left"/>
        </w:tabs>
        <w:numPr>
          <w:ilvl w:val="0"/>
          <w:numId w:val="263"/>
        </w:numPr>
        <w:rPr>
          <w:rFonts w:ascii="Arial" w:cs="Arial" w:eastAsia="Arial" w:hAnsi="Arial"/>
          <w:sz w:val="13"/>
          <w:szCs w:val="13"/>
          <w:color w:val="auto"/>
        </w:rPr>
      </w:pPr>
      <w:r>
        <w:rPr>
          <w:rFonts w:ascii="Arial" w:cs="Arial" w:eastAsia="Arial" w:hAnsi="Arial"/>
          <w:sz w:val="13"/>
          <w:szCs w:val="13"/>
          <w:b w:val="1"/>
          <w:bCs w:val="1"/>
          <w:u w:val="single" w:color="auto"/>
          <w:color w:val="auto"/>
        </w:rPr>
        <w:t>Place of Performance</w:t>
      </w:r>
      <w:r>
        <w:rPr>
          <w:rFonts w:ascii="Arial" w:cs="Arial" w:eastAsia="Arial" w:hAnsi="Arial"/>
          <w:sz w:val="13"/>
          <w:szCs w:val="13"/>
          <w:color w:val="auto"/>
        </w:rPr>
        <w:t>. Executive will perform services hereunder at the principal executive offices of the Company in a location to be determined by the board of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485775</wp:posOffset>
            </wp:positionV>
            <wp:extent cx="716089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82" w:lineRule="exact"/>
        <w:rPr>
          <w:sz w:val="20"/>
          <w:szCs w:val="20"/>
          <w:color w:val="auto"/>
        </w:rPr>
      </w:pPr>
    </w:p>
    <w:p>
      <w:pPr>
        <w:jc w:val="both"/>
        <w:ind w:firstLine="6"/>
        <w:spacing w:after="0" w:line="273" w:lineRule="auto"/>
        <w:tabs>
          <w:tab w:leader="none" w:pos="339" w:val="left"/>
        </w:tabs>
        <w:numPr>
          <w:ilvl w:val="0"/>
          <w:numId w:val="264"/>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$437,800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4" w:lineRule="auto"/>
        <w:tabs>
          <w:tab w:leader="none" w:pos="339" w:val="left"/>
        </w:tabs>
        <w:numPr>
          <w:ilvl w:val="0"/>
          <w:numId w:val="264"/>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her employment, Executive will have the opportunity to earn an annual bonus with a target amount of 40% of the Base Salary in effect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2" w:lineRule="exact"/>
        <w:rPr>
          <w:rFonts w:ascii="Arial" w:cs="Arial" w:eastAsia="Arial" w:hAnsi="Arial"/>
          <w:sz w:val="14"/>
          <w:szCs w:val="14"/>
          <w:color w:val="auto"/>
        </w:rPr>
      </w:pPr>
    </w:p>
    <w:p>
      <w:pPr>
        <w:ind w:left="360" w:hanging="354"/>
        <w:spacing w:after="0"/>
        <w:tabs>
          <w:tab w:leader="none" w:pos="360" w:val="left"/>
        </w:tabs>
        <w:numPr>
          <w:ilvl w:val="0"/>
          <w:numId w:val="264"/>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1" w:lineRule="exact"/>
        <w:rPr>
          <w:rFonts w:ascii="Arial" w:cs="Arial" w:eastAsia="Arial" w:hAnsi="Arial"/>
          <w:sz w:val="14"/>
          <w:szCs w:val="14"/>
          <w:color w:val="auto"/>
        </w:rPr>
      </w:pPr>
    </w:p>
    <w:p>
      <w:pPr>
        <w:ind w:left="340" w:hanging="334"/>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69" w:val="left"/>
        </w:tabs>
        <w:numPr>
          <w:ilvl w:val="1"/>
          <w:numId w:val="264"/>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0"/>
        <w:spacing w:after="0" w:line="285" w:lineRule="auto"/>
        <w:tabs>
          <w:tab w:leader="none" w:pos="874" w:val="left"/>
        </w:tabs>
        <w:numPr>
          <w:ilvl w:val="1"/>
          <w:numId w:val="264"/>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her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264"/>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92" w:lineRule="auto"/>
        <w:tabs>
          <w:tab w:leader="none" w:pos="869" w:val="left"/>
        </w:tabs>
        <w:numPr>
          <w:ilvl w:val="1"/>
          <w:numId w:val="264"/>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2" w:lineRule="exact"/>
        <w:rPr>
          <w:sz w:val="20"/>
          <w:szCs w:val="20"/>
          <w:color w:val="auto"/>
        </w:rPr>
      </w:pPr>
    </w:p>
    <w:p>
      <w:pPr>
        <w:ind w:firstLine="520"/>
        <w:spacing w:after="0" w:line="325" w:lineRule="auto"/>
        <w:tabs>
          <w:tab w:leader="none" w:pos="877" w:val="left"/>
        </w:tabs>
        <w:numPr>
          <w:ilvl w:val="1"/>
          <w:numId w:val="265"/>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9" w:lineRule="exact"/>
        <w:rPr>
          <w:rFonts w:ascii="Arial" w:cs="Arial" w:eastAsia="Arial" w:hAnsi="Arial"/>
          <w:sz w:val="13"/>
          <w:szCs w:val="13"/>
          <w:color w:val="auto"/>
        </w:rPr>
      </w:pPr>
    </w:p>
    <w:p>
      <w:pPr>
        <w:ind w:left="880" w:hanging="360"/>
        <w:spacing w:after="0"/>
        <w:tabs>
          <w:tab w:leader="none" w:pos="88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1" w:lineRule="exact"/>
        <w:rPr>
          <w:rFonts w:ascii="Arial" w:cs="Arial" w:eastAsia="Arial" w:hAnsi="Arial"/>
          <w:sz w:val="14"/>
          <w:szCs w:val="14"/>
          <w:color w:val="auto"/>
        </w:rPr>
      </w:pPr>
    </w:p>
    <w:p>
      <w:pPr>
        <w:jc w:val="both"/>
        <w:ind w:firstLine="520"/>
        <w:spacing w:after="0" w:line="265" w:lineRule="auto"/>
        <w:tabs>
          <w:tab w:leader="none" w:pos="877" w:val="left"/>
        </w:tabs>
        <w:numPr>
          <w:ilvl w:val="1"/>
          <w:numId w:val="265"/>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her employment and subject to reimbursement of her reasonable expenses, she will cooperate with the Company and its counsel with respect to any matter (including litigation, investigations, or governmental proceedings) in which Executive was in any way involved during her employment with the Company. Executive agrees to render such cooperation in a timely manner on reasonable notice from the Company, provided the Company exercises reasonable efforts to limit and schedule the need for Executive’s cooperation so as not to materially interfere with her other professional obligations.</w:t>
      </w:r>
    </w:p>
    <w:p>
      <w:pPr>
        <w:spacing w:after="0" w:line="14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65"/>
        </w:numPr>
        <w:rPr>
          <w:rFonts w:ascii="Arial" w:cs="Arial" w:eastAsia="Arial" w:hAnsi="Arial"/>
          <w:sz w:val="14"/>
          <w:szCs w:val="14"/>
          <w:color w:val="auto"/>
        </w:rPr>
      </w:pPr>
      <w:r>
        <w:rPr>
          <w:rFonts w:ascii="Arial" w:cs="Arial" w:eastAsia="Arial" w:hAnsi="Arial"/>
          <w:sz w:val="14"/>
          <w:szCs w:val="14"/>
          <w:color w:val="auto"/>
        </w:rPr>
        <w:t>Executive agrees that, upon any cessation of her employment, she will deliver to the Company (and will not retain in her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8" w:lineRule="exact"/>
        <w:rPr>
          <w:rFonts w:ascii="Arial" w:cs="Arial" w:eastAsia="Arial" w:hAnsi="Arial"/>
          <w:sz w:val="14"/>
          <w:szCs w:val="14"/>
          <w:color w:val="auto"/>
        </w:rPr>
      </w:pPr>
    </w:p>
    <w:p>
      <w:pPr>
        <w:ind w:left="340" w:hanging="334"/>
        <w:spacing w:after="0"/>
        <w:tabs>
          <w:tab w:leader="none" w:pos="340" w:val="left"/>
        </w:tabs>
        <w:numPr>
          <w:ilvl w:val="0"/>
          <w:numId w:val="266"/>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firstLine="520"/>
        <w:spacing w:after="0" w:line="291" w:lineRule="auto"/>
        <w:tabs>
          <w:tab w:leader="none" w:pos="904" w:val="left"/>
        </w:tabs>
        <w:numPr>
          <w:ilvl w:val="1"/>
          <w:numId w:val="26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 defined</w:t>
      </w:r>
      <w:r>
        <w:rPr>
          <w:rFonts w:ascii="Arial" w:cs="Arial" w:eastAsia="Arial" w:hAnsi="Arial"/>
          <w:sz w:val="14"/>
          <w:szCs w:val="14"/>
          <w:b w:val="1"/>
          <w:bCs w:val="1"/>
          <w:color w:val="auto"/>
        </w:rPr>
        <w:t xml:space="preserve"> </w:t>
      </w:r>
      <w:r>
        <w:rPr>
          <w:rFonts w:ascii="Arial" w:cs="Arial" w:eastAsia="Arial" w:hAnsi="Arial"/>
          <w:sz w:val="14"/>
          <w:szCs w:val="14"/>
          <w:color w:val="auto"/>
        </w:rPr>
        <w:t>below) or a resignation by Executive for Good Reason (as defined below):</w:t>
      </w:r>
    </w:p>
    <w:p>
      <w:pPr>
        <w:spacing w:after="0" w:line="127" w:lineRule="exact"/>
        <w:rPr>
          <w:rFonts w:ascii="Arial" w:cs="Arial" w:eastAsia="Arial" w:hAnsi="Arial"/>
          <w:sz w:val="14"/>
          <w:szCs w:val="14"/>
          <w:color w:val="auto"/>
        </w:rPr>
      </w:pPr>
    </w:p>
    <w:p>
      <w:pPr>
        <w:ind w:firstLine="1034"/>
        <w:spacing w:after="0" w:line="285" w:lineRule="auto"/>
        <w:tabs>
          <w:tab w:leader="none" w:pos="1395" w:val="left"/>
        </w:tabs>
        <w:numPr>
          <w:ilvl w:val="2"/>
          <w:numId w:val="266"/>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34"/>
        <w:spacing w:after="0" w:line="285" w:lineRule="auto"/>
        <w:tabs>
          <w:tab w:leader="none" w:pos="1417" w:val="left"/>
        </w:tabs>
        <w:numPr>
          <w:ilvl w:val="2"/>
          <w:numId w:val="266"/>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34"/>
        <w:spacing w:after="0" w:line="270" w:lineRule="auto"/>
        <w:tabs>
          <w:tab w:leader="none" w:pos="1438" w:val="left"/>
        </w:tabs>
        <w:numPr>
          <w:ilvl w:val="2"/>
          <w:numId w:val="266"/>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00" w:name="page401"/>
    <w:bookmarkEnd w:id="400"/>
    <w:p>
      <w:pPr>
        <w:jc w:val="both"/>
        <w:ind w:firstLine="1034"/>
        <w:spacing w:after="0" w:line="300" w:lineRule="auto"/>
        <w:tabs>
          <w:tab w:leader="none" w:pos="14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herself and her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34"/>
        <w:spacing w:after="0" w:line="270" w:lineRule="auto"/>
        <w:tabs>
          <w:tab w:leader="none" w:pos="1391" w:val="left"/>
        </w:tabs>
        <w:numPr>
          <w:ilvl w:val="0"/>
          <w:numId w:val="267"/>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Company and the expiration of all applicable statutory revocation periods, by the 60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3"/>
          <w:szCs w:val="13"/>
          <w:b w:val="1"/>
          <w:bCs w:val="1"/>
          <w:color w:val="auto"/>
        </w:rPr>
        <w:t>Release</w:t>
      </w:r>
      <w:r>
        <w:rPr>
          <w:rFonts w:ascii="Arial" w:cs="Arial" w:eastAsia="Arial" w:hAnsi="Arial"/>
          <w:sz w:val="13"/>
          <w:szCs w:val="13"/>
          <w:color w:val="auto"/>
        </w:rPr>
        <w:t>”) and on Executive’s continued compliance with the provisions of the Proprietary Information and Assignment Agreement (defined below).</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4" w:lineRule="exact"/>
        <w:rPr>
          <w:sz w:val="20"/>
          <w:szCs w:val="20"/>
          <w:color w:val="auto"/>
        </w:rPr>
      </w:pPr>
    </w:p>
    <w:p>
      <w:pPr>
        <w:ind w:firstLine="520"/>
        <w:spacing w:after="0" w:line="332" w:lineRule="auto"/>
        <w:tabs>
          <w:tab w:leader="none" w:pos="894" w:val="left"/>
        </w:tabs>
        <w:numPr>
          <w:ilvl w:val="0"/>
          <w:numId w:val="268"/>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01" w:name="page402"/>
    <w:bookmarkEnd w:id="401"/>
    <w:p>
      <w:pPr>
        <w:jc w:val="both"/>
        <w:spacing w:after="0" w:line="265"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2" w:lineRule="exact"/>
        <w:rPr>
          <w:sz w:val="20"/>
          <w:szCs w:val="20"/>
          <w:color w:val="auto"/>
        </w:rPr>
      </w:pPr>
    </w:p>
    <w:p>
      <w:pPr>
        <w:ind w:left="400" w:hanging="394"/>
        <w:spacing w:after="0"/>
        <w:tabs>
          <w:tab w:leader="none" w:pos="400" w:val="left"/>
        </w:tabs>
        <w:numPr>
          <w:ilvl w:val="0"/>
          <w:numId w:val="269"/>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86" w:val="left"/>
        </w:tabs>
        <w:numPr>
          <w:ilvl w:val="1"/>
          <w:numId w:val="269"/>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0"/>
        <w:spacing w:after="0" w:line="283" w:lineRule="auto"/>
        <w:tabs>
          <w:tab w:leader="none" w:pos="877" w:val="left"/>
        </w:tabs>
        <w:numPr>
          <w:ilvl w:val="1"/>
          <w:numId w:val="269"/>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her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6" w:lineRule="exact"/>
        <w:rPr>
          <w:rFonts w:ascii="Arial" w:cs="Arial" w:eastAsia="Arial" w:hAnsi="Arial"/>
          <w:sz w:val="13"/>
          <w:szCs w:val="13"/>
          <w:color w:val="auto"/>
        </w:rPr>
      </w:pPr>
    </w:p>
    <w:p>
      <w:pPr>
        <w:jc w:val="both"/>
        <w:ind w:firstLine="520"/>
        <w:spacing w:after="0" w:line="287" w:lineRule="auto"/>
        <w:tabs>
          <w:tab w:leader="none" w:pos="869" w:val="left"/>
        </w:tabs>
        <w:numPr>
          <w:ilvl w:val="1"/>
          <w:numId w:val="269"/>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30" w:lineRule="exact"/>
        <w:rPr>
          <w:rFonts w:ascii="Arial" w:cs="Arial" w:eastAsia="Arial" w:hAnsi="Arial"/>
          <w:sz w:val="13"/>
          <w:szCs w:val="13"/>
          <w:color w:val="auto"/>
        </w:rPr>
      </w:pPr>
    </w:p>
    <w:p>
      <w:pPr>
        <w:ind w:firstLine="6"/>
        <w:spacing w:after="0" w:line="332" w:lineRule="auto"/>
        <w:tabs>
          <w:tab w:leader="none" w:pos="369" w:val="left"/>
        </w:tabs>
        <w:numPr>
          <w:ilvl w:val="0"/>
          <w:numId w:val="269"/>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02" w:name="page403"/>
    <w:bookmarkEnd w:id="402"/>
    <w:p>
      <w:pPr>
        <w:jc w:val="both"/>
        <w:spacing w:after="0" w:line="285"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0" w:lineRule="exact"/>
        <w:rPr>
          <w:sz w:val="20"/>
          <w:szCs w:val="20"/>
          <w:color w:val="auto"/>
        </w:rPr>
      </w:pPr>
    </w:p>
    <w:p>
      <w:pPr>
        <w:ind w:left="380" w:hanging="374"/>
        <w:spacing w:after="0"/>
        <w:tabs>
          <w:tab w:leader="none" w:pos="380" w:val="left"/>
        </w:tabs>
        <w:numPr>
          <w:ilvl w:val="0"/>
          <w:numId w:val="270"/>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1" w:lineRule="exact"/>
        <w:rPr>
          <w:rFonts w:ascii="Arial" w:cs="Arial" w:eastAsia="Arial" w:hAnsi="Arial"/>
          <w:sz w:val="14"/>
          <w:szCs w:val="14"/>
          <w:color w:val="auto"/>
        </w:rPr>
      </w:pPr>
    </w:p>
    <w:p>
      <w:pPr>
        <w:jc w:val="both"/>
        <w:ind w:firstLine="520"/>
        <w:spacing w:after="0" w:line="280" w:lineRule="auto"/>
        <w:tabs>
          <w:tab w:leader="none" w:pos="869" w:val="left"/>
        </w:tabs>
        <w:numPr>
          <w:ilvl w:val="1"/>
          <w:numId w:val="2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her duties hereunder (other than by reason of Executive’s physical or mental illness, incapacity or disability) which has continued for more than</w:t>
      </w:r>
    </w:p>
    <w:p>
      <w:pPr>
        <w:spacing w:after="0" w:line="1" w:lineRule="exact"/>
        <w:rPr>
          <w:rFonts w:ascii="Arial" w:cs="Arial" w:eastAsia="Arial" w:hAnsi="Arial"/>
          <w:sz w:val="13"/>
          <w:szCs w:val="13"/>
          <w:color w:val="auto"/>
        </w:rPr>
      </w:pPr>
    </w:p>
    <w:p>
      <w:pPr>
        <w:jc w:val="both"/>
        <w:ind w:firstLine="6"/>
        <w:spacing w:after="0" w:line="275" w:lineRule="auto"/>
        <w:tabs>
          <w:tab w:leader="none" w:pos="179" w:val="left"/>
        </w:tabs>
        <w:numPr>
          <w:ilvl w:val="0"/>
          <w:numId w:val="271"/>
        </w:numPr>
        <w:rPr>
          <w:rFonts w:ascii="Arial" w:cs="Arial" w:eastAsia="Arial" w:hAnsi="Arial"/>
          <w:sz w:val="13"/>
          <w:szCs w:val="13"/>
          <w:color w:val="auto"/>
        </w:rPr>
      </w:pPr>
      <w:r>
        <w:rPr>
          <w:rFonts w:ascii="Arial" w:cs="Arial" w:eastAsia="Arial" w:hAnsi="Arial"/>
          <w:sz w:val="13"/>
          <w:szCs w:val="13"/>
          <w:color w:val="auto"/>
        </w:rPr>
        <w:t>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w:t>
      </w:r>
    </w:p>
    <w:p>
      <w:pPr>
        <w:jc w:val="both"/>
        <w:spacing w:after="0" w:line="283" w:lineRule="auto"/>
        <w:rPr>
          <w:rFonts w:ascii="Arial" w:cs="Arial" w:eastAsia="Arial" w:hAnsi="Arial"/>
          <w:sz w:val="13"/>
          <w:szCs w:val="13"/>
          <w:color w:val="auto"/>
        </w:rPr>
      </w:pPr>
      <w:r>
        <w:rPr>
          <w:rFonts w:ascii="Arial" w:cs="Arial" w:eastAsia="Arial" w:hAnsi="Arial"/>
          <w:sz w:val="13"/>
          <w:szCs w:val="13"/>
          <w:color w:val="auto"/>
        </w:rPr>
        <w:t xml:space="preserve">(v)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her Disability will not constitute a termination without Cause.</w:t>
      </w:r>
    </w:p>
    <w:p>
      <w:pPr>
        <w:spacing w:after="0" w:line="132" w:lineRule="exact"/>
        <w:rPr>
          <w:rFonts w:ascii="Arial" w:cs="Arial" w:eastAsia="Arial" w:hAnsi="Arial"/>
          <w:sz w:val="13"/>
          <w:szCs w:val="13"/>
          <w:color w:val="auto"/>
        </w:rPr>
      </w:pPr>
    </w:p>
    <w:p>
      <w:pPr>
        <w:ind w:left="880" w:hanging="360"/>
        <w:spacing w:after="0"/>
        <w:tabs>
          <w:tab w:leader="none" w:pos="8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403" w:name="page404"/>
    <w:bookmarkEnd w:id="403"/>
    <w:p>
      <w:pPr>
        <w:jc w:val="both"/>
        <w:spacing w:after="0" w:line="303"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her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0"/>
        <w:spacing w:after="0" w:line="264" w:lineRule="auto"/>
        <w:tabs>
          <w:tab w:leader="none" w:pos="887" w:val="left"/>
        </w:tabs>
        <w:numPr>
          <w:ilvl w:val="1"/>
          <w:numId w:val="2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2" w:lineRule="exact"/>
        <w:rPr>
          <w:rFonts w:ascii="Arial" w:cs="Arial" w:eastAsia="Arial" w:hAnsi="Arial"/>
          <w:sz w:val="14"/>
          <w:szCs w:val="14"/>
          <w:color w:val="auto"/>
        </w:rPr>
      </w:pPr>
    </w:p>
    <w:p>
      <w:pPr>
        <w:jc w:val="both"/>
        <w:ind w:firstLine="520"/>
        <w:spacing w:after="0" w:line="273" w:lineRule="auto"/>
        <w:tabs>
          <w:tab w:leader="none" w:pos="871" w:val="left"/>
        </w:tabs>
        <w:numPr>
          <w:ilvl w:val="1"/>
          <w:numId w:val="2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2" w:lineRule="auto"/>
        <w:tabs>
          <w:tab w:leader="none" w:pos="375" w:val="left"/>
        </w:tabs>
        <w:numPr>
          <w:ilvl w:val="0"/>
          <w:numId w:val="273"/>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100" w:lineRule="exact"/>
        <w:rPr>
          <w:rFonts w:ascii="Arial" w:cs="Arial" w:eastAsia="Arial" w:hAnsi="Arial"/>
          <w:sz w:val="13"/>
          <w:szCs w:val="13"/>
          <w:color w:val="auto"/>
        </w:rPr>
      </w:pPr>
    </w:p>
    <w:p>
      <w:pPr>
        <w:ind w:firstLine="6"/>
        <w:spacing w:after="0" w:line="291" w:lineRule="auto"/>
        <w:tabs>
          <w:tab w:leader="none" w:pos="375"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3" w:lineRule="auto"/>
        <w:tabs>
          <w:tab w:leader="none" w:pos="375"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she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her duties to the Company or her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404" w:name="page405"/>
    <w:bookmarkEnd w:id="404"/>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her compensation.</w:t>
      </w:r>
    </w:p>
    <w:p>
      <w:pPr>
        <w:spacing w:after="0" w:line="189" w:lineRule="exact"/>
        <w:rPr>
          <w:sz w:val="20"/>
          <w:szCs w:val="20"/>
          <w:color w:val="auto"/>
        </w:rPr>
      </w:pPr>
    </w:p>
    <w:p>
      <w:pPr>
        <w:ind w:left="380" w:hanging="374"/>
        <w:spacing w:after="0"/>
        <w:tabs>
          <w:tab w:leader="none" w:pos="380" w:val="left"/>
        </w:tabs>
        <w:numPr>
          <w:ilvl w:val="0"/>
          <w:numId w:val="274"/>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74"/>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2" w:lineRule="exact"/>
        <w:rPr>
          <w:rFonts w:ascii="Arial" w:cs="Arial" w:eastAsia="Arial" w:hAnsi="Arial"/>
          <w:sz w:val="14"/>
          <w:szCs w:val="14"/>
          <w:color w:val="auto"/>
        </w:rPr>
      </w:pPr>
    </w:p>
    <w:p>
      <w:pPr>
        <w:jc w:val="both"/>
        <w:ind w:firstLine="520"/>
        <w:spacing w:after="0" w:line="300" w:lineRule="auto"/>
        <w:tabs>
          <w:tab w:leader="none" w:pos="877" w:val="left"/>
        </w:tabs>
        <w:numPr>
          <w:ilvl w:val="1"/>
          <w:numId w:val="274"/>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60"/>
        <w:spacing w:after="0"/>
        <w:tabs>
          <w:tab w:leader="none" w:pos="88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77" w:lineRule="exact"/>
        <w:rPr>
          <w:rFonts w:ascii="Arial" w:cs="Arial" w:eastAsia="Arial" w:hAnsi="Arial"/>
          <w:sz w:val="14"/>
          <w:szCs w:val="14"/>
          <w:color w:val="auto"/>
        </w:rPr>
      </w:pPr>
    </w:p>
    <w:p>
      <w:pPr>
        <w:ind w:left="400" w:hanging="394"/>
        <w:spacing w:after="0"/>
        <w:tabs>
          <w:tab w:leader="none" w:pos="400" w:val="left"/>
        </w:tabs>
        <w:numPr>
          <w:ilvl w:val="0"/>
          <w:numId w:val="274"/>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3" w:lineRule="exact"/>
        <w:rPr>
          <w:rFonts w:ascii="Arial" w:cs="Arial" w:eastAsia="Arial" w:hAnsi="Arial"/>
          <w:sz w:val="13"/>
          <w:szCs w:val="13"/>
          <w:color w:val="auto"/>
        </w:rPr>
      </w:pPr>
    </w:p>
    <w:p>
      <w:pPr>
        <w:jc w:val="both"/>
        <w:ind w:firstLine="6"/>
        <w:spacing w:after="0" w:line="260" w:lineRule="auto"/>
        <w:tabs>
          <w:tab w:leader="none" w:pos="392" w:val="left"/>
        </w:tabs>
        <w:numPr>
          <w:ilvl w:val="0"/>
          <w:numId w:val="274"/>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78" w:lineRule="exact"/>
        <w:rPr>
          <w:sz w:val="20"/>
          <w:szCs w:val="20"/>
          <w:color w:val="auto"/>
        </w:rPr>
      </w:pPr>
    </w:p>
    <w:p>
      <w:pPr>
        <w:ind w:left="400" w:hanging="394"/>
        <w:spacing w:after="0"/>
        <w:tabs>
          <w:tab w:leader="none" w:pos="400"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1" w:lineRule="exact"/>
        <w:rPr>
          <w:rFonts w:ascii="Arial" w:cs="Arial" w:eastAsia="Arial" w:hAnsi="Arial"/>
          <w:sz w:val="14"/>
          <w:szCs w:val="14"/>
          <w:color w:val="auto"/>
        </w:rPr>
      </w:pPr>
    </w:p>
    <w:p>
      <w:pPr>
        <w:jc w:val="both"/>
        <w:ind w:firstLine="6"/>
        <w:spacing w:after="0" w:line="262" w:lineRule="auto"/>
        <w:tabs>
          <w:tab w:leader="none" w:pos="392"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4" w:lineRule="exact"/>
        <w:rPr>
          <w:rFonts w:ascii="Arial" w:cs="Arial" w:eastAsia="Arial" w:hAnsi="Arial"/>
          <w:sz w:val="14"/>
          <w:szCs w:val="14"/>
          <w:color w:val="auto"/>
        </w:rPr>
      </w:pPr>
    </w:p>
    <w:p>
      <w:pPr>
        <w:ind w:firstLine="6"/>
        <w:spacing w:after="0" w:line="291" w:lineRule="auto"/>
        <w:tabs>
          <w:tab w:leader="none" w:pos="375"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one and the same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06" w:name="page407"/>
    <w:bookmarkEnd w:id="406"/>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7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tbl>
      <w:tblPr>
        <w:tblLayout w:type="fixed"/>
        <w:tblInd w:w="512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Adrienne Farid, Ph.D.</w:t>
            </w:r>
          </w:p>
        </w:tc>
      </w:tr>
      <w:tr>
        <w:trPr>
          <w:trHeight w:val="34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Adrienne Farid,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Adrienne Farid, Ph.D.</w:t>
            </w:r>
          </w:p>
        </w:tc>
      </w:tr>
    </w:tbl>
    <w:p>
      <w:pPr>
        <w:spacing w:after="0" w:line="16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353060</wp:posOffset>
            </wp:positionV>
            <wp:extent cx="716089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4"/>
          <w:szCs w:val="14"/>
          <w:b w:val="1"/>
          <w:bCs w:val="1"/>
          <w:color w:val="auto"/>
        </w:rPr>
        <w:t>EXHIBIT 10.35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GREGORY RUSSOTTI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2" w:lineRule="exact"/>
        <w:rPr>
          <w:sz w:val="20"/>
          <w:szCs w:val="20"/>
          <w:color w:val="auto"/>
        </w:rPr>
      </w:pPr>
    </w:p>
    <w:p>
      <w:pPr>
        <w:jc w:val="both"/>
        <w:ind w:firstLine="514"/>
        <w:spacing w:after="0" w:line="285" w:lineRule="auto"/>
        <w:rPr>
          <w:sz w:val="20"/>
          <w:szCs w:val="20"/>
          <w:color w:val="auto"/>
        </w:rPr>
      </w:pPr>
      <w:r>
        <w:rPr>
          <w:rFonts w:ascii="Arial" w:cs="Arial" w:eastAsia="Arial" w:hAnsi="Arial"/>
          <w:sz w:val="14"/>
          <w:szCs w:val="14"/>
          <w:color w:val="auto"/>
        </w:rPr>
        <w:t>WHEREAS, Executive is currently employed by the Company as its Chief Technology Officer in accordance with the terms and conditions of that certain offer letter by and between the Company and Executive dated June 30,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68" w:lineRule="exact"/>
        <w:rPr>
          <w:sz w:val="20"/>
          <w:szCs w:val="20"/>
          <w:color w:val="auto"/>
        </w:rPr>
      </w:pPr>
    </w:p>
    <w:p>
      <w:pPr>
        <w:jc w:val="both"/>
        <w:ind w:firstLine="6"/>
        <w:spacing w:after="0" w:line="289" w:lineRule="auto"/>
        <w:tabs>
          <w:tab w:leader="none" w:pos="339" w:val="left"/>
        </w:tabs>
        <w:numPr>
          <w:ilvl w:val="0"/>
          <w:numId w:val="276"/>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Technology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27" w:lineRule="exact"/>
        <w:rPr>
          <w:rFonts w:ascii="Arial" w:cs="Arial" w:eastAsia="Arial" w:hAnsi="Arial"/>
          <w:sz w:val="13"/>
          <w:szCs w:val="13"/>
          <w:color w:val="auto"/>
        </w:rPr>
      </w:pPr>
    </w:p>
    <w:p>
      <w:pPr>
        <w:jc w:val="both"/>
        <w:ind w:firstLine="6"/>
        <w:spacing w:after="0" w:line="273" w:lineRule="auto"/>
        <w:tabs>
          <w:tab w:leader="none" w:pos="339" w:val="left"/>
        </w:tabs>
        <w:numPr>
          <w:ilvl w:val="0"/>
          <w:numId w:val="27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jc w:val="both"/>
        <w:ind w:firstLine="6"/>
        <w:spacing w:after="0" w:line="264" w:lineRule="auto"/>
        <w:tabs>
          <w:tab w:leader="none" w:pos="339" w:val="left"/>
        </w:tabs>
        <w:numPr>
          <w:ilvl w:val="0"/>
          <w:numId w:val="276"/>
        </w:numPr>
        <w:rPr>
          <w:rFonts w:ascii="Arial" w:cs="Arial" w:eastAsia="Arial" w:hAnsi="Arial"/>
          <w:sz w:val="14"/>
          <w:szCs w:val="14"/>
          <w:color w:val="auto"/>
        </w:rPr>
      </w:pPr>
      <w:r>
        <w:rPr>
          <w:rFonts w:ascii="Arial" w:cs="Arial" w:eastAsia="Arial" w:hAnsi="Arial"/>
          <w:sz w:val="14"/>
          <w:szCs w:val="14"/>
          <w:b w:val="1"/>
          <w:bCs w:val="1"/>
          <w:u w:val="single" w:color="auto"/>
          <w:color w:val="auto"/>
        </w:rPr>
        <w:t>Place of Performance</w:t>
      </w:r>
      <w:r>
        <w:rPr>
          <w:rFonts w:ascii="Arial" w:cs="Arial" w:eastAsia="Arial" w:hAnsi="Arial"/>
          <w:sz w:val="14"/>
          <w:szCs w:val="14"/>
          <w:color w:val="auto"/>
        </w:rPr>
        <w:t>. Executive’s primary worksite will be as follows: (a) until the Company’s New Jersey manufacturing site opens, Executive will work at the Company’s principal</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offices (up to three days per week, on average, as requested by the Company) and remotely from home (for the remainder of his time), and (b) after the Company’s New Jersey manufacturing site opens, Executive will work primarily at that New Jersey manufacturing site. In addition, Executive may be required to travel from time to time for business purposes. Executive’s worksite assignment will be subject to change based on the Company’s business needs and other factors, including the Company’s assessment of the effectiveness of the arrangement, as determined by the Company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453390</wp:posOffset>
            </wp:positionV>
            <wp:extent cx="716089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408" w:name="page409"/>
    <w:bookmarkEnd w:id="408"/>
    <w:p>
      <w:pPr>
        <w:jc w:val="both"/>
        <w:ind w:firstLine="6"/>
        <w:spacing w:after="0" w:line="273" w:lineRule="auto"/>
        <w:tabs>
          <w:tab w:leader="none" w:pos="339" w:val="left"/>
        </w:tabs>
        <w:numPr>
          <w:ilvl w:val="0"/>
          <w:numId w:val="277"/>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$430,700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(the “</w:t>
      </w:r>
      <w:r>
        <w:rPr>
          <w:rFonts w:ascii="Arial" w:cs="Arial" w:eastAsia="Arial" w:hAnsi="Arial"/>
          <w:sz w:val="14"/>
          <w:szCs w:val="14"/>
          <w:b w:val="1"/>
          <w:bCs w:val="1"/>
          <w:color w:val="auto"/>
        </w:rPr>
        <w:t>Committee</w:t>
      </w:r>
      <w:r>
        <w:rPr>
          <w:rFonts w:ascii="Arial" w:cs="Arial" w:eastAsia="Arial" w:hAnsi="Arial"/>
          <w:sz w:val="14"/>
          <w:szCs w:val="14"/>
          <w:color w:val="auto"/>
        </w:rPr>
        <w:t xml:space="preserve">”) of 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4" w:lineRule="auto"/>
        <w:tabs>
          <w:tab w:leader="none" w:pos="339" w:val="left"/>
        </w:tabs>
        <w:numPr>
          <w:ilvl w:val="0"/>
          <w:numId w:val="277"/>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 at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2" w:lineRule="exact"/>
        <w:rPr>
          <w:rFonts w:ascii="Arial" w:cs="Arial" w:eastAsia="Arial" w:hAnsi="Arial"/>
          <w:sz w:val="14"/>
          <w:szCs w:val="14"/>
          <w:color w:val="auto"/>
        </w:rPr>
      </w:pPr>
    </w:p>
    <w:p>
      <w:pPr>
        <w:ind w:left="360" w:hanging="354"/>
        <w:spacing w:after="0"/>
        <w:tabs>
          <w:tab w:leader="none" w:pos="360" w:val="left"/>
        </w:tabs>
        <w:numPr>
          <w:ilvl w:val="0"/>
          <w:numId w:val="277"/>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1" w:lineRule="exact"/>
        <w:rPr>
          <w:rFonts w:ascii="Arial" w:cs="Arial" w:eastAsia="Arial" w:hAnsi="Arial"/>
          <w:sz w:val="14"/>
          <w:szCs w:val="14"/>
          <w:color w:val="auto"/>
        </w:rPr>
      </w:pPr>
    </w:p>
    <w:p>
      <w:pPr>
        <w:ind w:left="340" w:hanging="334"/>
        <w:spacing w:after="0"/>
        <w:tabs>
          <w:tab w:leader="none" w:pos="340" w:val="left"/>
        </w:tabs>
        <w:numPr>
          <w:ilvl w:val="0"/>
          <w:numId w:val="277"/>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69" w:val="left"/>
        </w:tabs>
        <w:numPr>
          <w:ilvl w:val="1"/>
          <w:numId w:val="277"/>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0"/>
        <w:spacing w:after="0" w:line="285" w:lineRule="auto"/>
        <w:tabs>
          <w:tab w:leader="none" w:pos="874" w:val="left"/>
        </w:tabs>
        <w:numPr>
          <w:ilvl w:val="1"/>
          <w:numId w:val="277"/>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277"/>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92" w:lineRule="auto"/>
        <w:tabs>
          <w:tab w:leader="none" w:pos="869" w:val="left"/>
        </w:tabs>
        <w:numPr>
          <w:ilvl w:val="1"/>
          <w:numId w:val="277"/>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2" w:lineRule="exact"/>
        <w:rPr>
          <w:sz w:val="20"/>
          <w:szCs w:val="20"/>
          <w:color w:val="auto"/>
        </w:rPr>
      </w:pPr>
    </w:p>
    <w:p>
      <w:pPr>
        <w:ind w:firstLine="520"/>
        <w:spacing w:after="0" w:line="325" w:lineRule="auto"/>
        <w:tabs>
          <w:tab w:leader="none" w:pos="877" w:val="left"/>
        </w:tabs>
        <w:numPr>
          <w:ilvl w:val="1"/>
          <w:numId w:val="278"/>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9" w:lineRule="exact"/>
        <w:rPr>
          <w:rFonts w:ascii="Arial" w:cs="Arial" w:eastAsia="Arial" w:hAnsi="Arial"/>
          <w:sz w:val="13"/>
          <w:szCs w:val="13"/>
          <w:color w:val="auto"/>
        </w:rPr>
      </w:pPr>
    </w:p>
    <w:p>
      <w:pPr>
        <w:ind w:left="880" w:hanging="360"/>
        <w:spacing w:after="0"/>
        <w:tabs>
          <w:tab w:leader="none" w:pos="880" w:val="left"/>
        </w:tabs>
        <w:numPr>
          <w:ilvl w:val="1"/>
          <w:numId w:val="278"/>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1" w:lineRule="exact"/>
        <w:rPr>
          <w:rFonts w:ascii="Arial" w:cs="Arial" w:eastAsia="Arial" w:hAnsi="Arial"/>
          <w:sz w:val="14"/>
          <w:szCs w:val="14"/>
          <w:color w:val="auto"/>
        </w:rPr>
      </w:pPr>
    </w:p>
    <w:p>
      <w:pPr>
        <w:jc w:val="both"/>
        <w:ind w:firstLine="520"/>
        <w:spacing w:after="0" w:line="265" w:lineRule="auto"/>
        <w:tabs>
          <w:tab w:leader="none" w:pos="877" w:val="left"/>
        </w:tabs>
        <w:numPr>
          <w:ilvl w:val="1"/>
          <w:numId w:val="278"/>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78"/>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8" w:lineRule="exact"/>
        <w:rPr>
          <w:rFonts w:ascii="Arial" w:cs="Arial" w:eastAsia="Arial" w:hAnsi="Arial"/>
          <w:sz w:val="14"/>
          <w:szCs w:val="14"/>
          <w:color w:val="auto"/>
        </w:rPr>
      </w:pPr>
    </w:p>
    <w:p>
      <w:pPr>
        <w:jc w:val="both"/>
        <w:ind w:firstLine="520"/>
        <w:spacing w:after="0" w:line="303" w:lineRule="auto"/>
        <w:tabs>
          <w:tab w:leader="none" w:pos="926" w:val="left"/>
        </w:tabs>
        <w:numPr>
          <w:ilvl w:val="1"/>
          <w:numId w:val="278"/>
        </w:numPr>
        <w:rPr>
          <w:rFonts w:ascii="Arial" w:cs="Arial" w:eastAsia="Arial" w:hAnsi="Arial"/>
          <w:sz w:val="13"/>
          <w:szCs w:val="13"/>
          <w:color w:val="auto"/>
        </w:rPr>
      </w:pPr>
      <w:r>
        <w:rPr>
          <w:rFonts w:ascii="Arial" w:cs="Arial" w:eastAsia="Arial" w:hAnsi="Arial"/>
          <w:sz w:val="13"/>
          <w:szCs w:val="13"/>
          <w:color w:val="auto"/>
        </w:rPr>
        <w:t>Executive acknowledges that, pursuant to Section 4 of the Prior Agreement, he previously received a signing bonus in the gross amount of $100,000 (the “</w:t>
      </w:r>
      <w:r>
        <w:rPr>
          <w:rFonts w:ascii="Arial" w:cs="Arial" w:eastAsia="Arial" w:hAnsi="Arial"/>
          <w:sz w:val="13"/>
          <w:szCs w:val="13"/>
          <w:b w:val="1"/>
          <w:bCs w:val="1"/>
          <w:color w:val="auto"/>
        </w:rPr>
        <w:t>Signing Bonus</w:t>
      </w:r>
      <w:r>
        <w:rPr>
          <w:rFonts w:ascii="Arial" w:cs="Arial" w:eastAsia="Arial" w:hAnsi="Arial"/>
          <w:sz w:val="13"/>
          <w:szCs w:val="13"/>
          <w:color w:val="auto"/>
        </w:rPr>
        <w:t>”). Executive agrees that, upon a cessation of his employment due to a termination by the Company with Cause (as defined below) or resignation by Executive without Good Reason (as defined below), in either case, prior to February 17, 2022, Executive will repay the Signing Bonus to the Company within thirty (30) days of such date of termination as follows:</w:t>
      </w:r>
    </w:p>
    <w:p>
      <w:pPr>
        <w:spacing w:after="0" w:line="123" w:lineRule="exact"/>
        <w:rPr>
          <w:rFonts w:ascii="Arial" w:cs="Arial" w:eastAsia="Arial" w:hAnsi="Arial"/>
          <w:sz w:val="13"/>
          <w:szCs w:val="13"/>
          <w:color w:val="auto"/>
        </w:rPr>
      </w:pPr>
    </w:p>
    <w:p>
      <w:pPr>
        <w:ind w:left="1460" w:hanging="426"/>
        <w:spacing w:after="0"/>
        <w:tabs>
          <w:tab w:leader="none" w:pos="1460" w:val="left"/>
        </w:tabs>
        <w:numPr>
          <w:ilvl w:val="2"/>
          <w:numId w:val="278"/>
        </w:numPr>
        <w:rPr>
          <w:rFonts w:ascii="Arial" w:cs="Arial" w:eastAsia="Arial" w:hAnsi="Arial"/>
          <w:sz w:val="14"/>
          <w:szCs w:val="14"/>
          <w:color w:val="auto"/>
        </w:rPr>
      </w:pPr>
      <w:r>
        <w:rPr>
          <w:rFonts w:ascii="Arial" w:cs="Arial" w:eastAsia="Arial" w:hAnsi="Arial"/>
          <w:sz w:val="14"/>
          <w:szCs w:val="14"/>
          <w:color w:val="auto"/>
        </w:rPr>
        <w:t>if such cessation of employment is due to a termination by the Company for Cause, then Executive will repay the entire gross amount of the Signing Bonus; or</w:t>
      </w:r>
    </w:p>
    <w:p>
      <w:pPr>
        <w:spacing w:after="0" w:line="181" w:lineRule="exact"/>
        <w:rPr>
          <w:rFonts w:ascii="Arial" w:cs="Arial" w:eastAsia="Arial" w:hAnsi="Arial"/>
          <w:sz w:val="14"/>
          <w:szCs w:val="14"/>
          <w:color w:val="auto"/>
        </w:rPr>
      </w:pPr>
    </w:p>
    <w:p>
      <w:pPr>
        <w:jc w:val="both"/>
        <w:ind w:firstLine="1034"/>
        <w:spacing w:after="0" w:line="270" w:lineRule="auto"/>
        <w:tabs>
          <w:tab w:leader="none" w:pos="1471" w:val="left"/>
        </w:tabs>
        <w:numPr>
          <w:ilvl w:val="2"/>
          <w:numId w:val="278"/>
        </w:numPr>
        <w:rPr>
          <w:rFonts w:ascii="Arial" w:cs="Arial" w:eastAsia="Arial" w:hAnsi="Arial"/>
          <w:sz w:val="14"/>
          <w:szCs w:val="14"/>
          <w:color w:val="auto"/>
        </w:rPr>
      </w:pPr>
      <w:r>
        <w:rPr>
          <w:rFonts w:ascii="Arial" w:cs="Arial" w:eastAsia="Arial" w:hAnsi="Arial"/>
          <w:sz w:val="14"/>
          <w:szCs w:val="14"/>
          <w:color w:val="auto"/>
        </w:rPr>
        <w:t>if such cessation of employment is due to a resignation by Executive without Good Reason, then Executive will repay a pro rata portion of the gross amount of the Signing Bonus calculated by multiplying (A) the quotient obtained by dividing (1) the number of days between Executive’s date of termination and February 17, 2022, by (2) 730, and (B) the Signing Bonus.</w:t>
      </w:r>
    </w:p>
    <w:p>
      <w:pPr>
        <w:spacing w:after="0" w:line="309" w:lineRule="exact"/>
        <w:rPr>
          <w:rFonts w:ascii="Arial" w:cs="Arial" w:eastAsia="Arial" w:hAnsi="Arial"/>
          <w:sz w:val="14"/>
          <w:szCs w:val="14"/>
          <w:color w:val="auto"/>
        </w:rPr>
      </w:pPr>
    </w:p>
    <w:p>
      <w:pPr>
        <w:ind w:left="340" w:hanging="334"/>
        <w:spacing w:after="0"/>
        <w:tabs>
          <w:tab w:leader="none" w:pos="340" w:val="left"/>
        </w:tabs>
        <w:numPr>
          <w:ilvl w:val="0"/>
          <w:numId w:val="279"/>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1" w:lineRule="exact"/>
        <w:rPr>
          <w:rFonts w:ascii="Arial" w:cs="Arial" w:eastAsia="Arial" w:hAnsi="Arial"/>
          <w:sz w:val="14"/>
          <w:szCs w:val="14"/>
          <w:color w:val="auto"/>
        </w:rPr>
      </w:pPr>
    </w:p>
    <w:p>
      <w:pPr>
        <w:ind w:firstLine="520"/>
        <w:spacing w:after="0" w:line="291" w:lineRule="auto"/>
        <w:tabs>
          <w:tab w:leader="none" w:pos="915" w:val="left"/>
        </w:tabs>
        <w:numPr>
          <w:ilvl w:val="1"/>
          <w:numId w:val="279"/>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or a</w:t>
      </w:r>
      <w:r>
        <w:rPr>
          <w:rFonts w:ascii="Arial" w:cs="Arial" w:eastAsia="Arial" w:hAnsi="Arial"/>
          <w:sz w:val="14"/>
          <w:szCs w:val="14"/>
          <w:b w:val="1"/>
          <w:bCs w:val="1"/>
          <w:color w:val="auto"/>
        </w:rPr>
        <w:t xml:space="preserve"> </w:t>
      </w:r>
      <w:r>
        <w:rPr>
          <w:rFonts w:ascii="Arial" w:cs="Arial" w:eastAsia="Arial" w:hAnsi="Arial"/>
          <w:sz w:val="14"/>
          <w:szCs w:val="14"/>
          <w:color w:val="auto"/>
        </w:rPr>
        <w:t>resignation by Executive for Good Reason:</w:t>
      </w:r>
    </w:p>
    <w:p>
      <w:pPr>
        <w:spacing w:after="0" w:line="127" w:lineRule="exact"/>
        <w:rPr>
          <w:rFonts w:ascii="Arial" w:cs="Arial" w:eastAsia="Arial" w:hAnsi="Arial"/>
          <w:sz w:val="14"/>
          <w:szCs w:val="14"/>
          <w:color w:val="auto"/>
        </w:rPr>
      </w:pPr>
    </w:p>
    <w:p>
      <w:pPr>
        <w:ind w:firstLine="1034"/>
        <w:spacing w:after="0" w:line="285" w:lineRule="auto"/>
        <w:tabs>
          <w:tab w:leader="none" w:pos="1395" w:val="left"/>
        </w:tabs>
        <w:numPr>
          <w:ilvl w:val="2"/>
          <w:numId w:val="279"/>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34"/>
        <w:spacing w:after="0" w:line="285" w:lineRule="auto"/>
        <w:tabs>
          <w:tab w:leader="none" w:pos="1417" w:val="left"/>
        </w:tabs>
        <w:numPr>
          <w:ilvl w:val="2"/>
          <w:numId w:val="279"/>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34"/>
        <w:spacing w:after="0" w:line="270" w:lineRule="auto"/>
        <w:tabs>
          <w:tab w:leader="none" w:pos="1438" w:val="left"/>
        </w:tabs>
        <w:numPr>
          <w:ilvl w:val="2"/>
          <w:numId w:val="279"/>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10" w:name="page411"/>
    <w:bookmarkEnd w:id="410"/>
    <w:p>
      <w:pPr>
        <w:jc w:val="both"/>
        <w:ind w:firstLine="1034"/>
        <w:spacing w:after="0" w:line="300" w:lineRule="auto"/>
        <w:tabs>
          <w:tab w:leader="none" w:pos="142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34"/>
        <w:spacing w:after="0" w:line="270" w:lineRule="auto"/>
        <w:tabs>
          <w:tab w:leader="none" w:pos="1391" w:val="left"/>
        </w:tabs>
        <w:numPr>
          <w:ilvl w:val="0"/>
          <w:numId w:val="280"/>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Company and the expiration of all applicable statutory revocation periods, by the 60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3"/>
          <w:szCs w:val="13"/>
          <w:b w:val="1"/>
          <w:bCs w:val="1"/>
          <w:color w:val="auto"/>
        </w:rPr>
        <w:t>Release</w:t>
      </w:r>
      <w:r>
        <w:rPr>
          <w:rFonts w:ascii="Arial" w:cs="Arial" w:eastAsia="Arial" w:hAnsi="Arial"/>
          <w:sz w:val="13"/>
          <w:szCs w:val="13"/>
          <w:color w:val="auto"/>
        </w:rPr>
        <w:t>”) and on Executive’s continued compliance with the provisions of the Proprietary Information and Assignment Agreement (defined below).</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4" w:lineRule="exact"/>
        <w:rPr>
          <w:sz w:val="20"/>
          <w:szCs w:val="20"/>
          <w:color w:val="auto"/>
        </w:rPr>
      </w:pPr>
    </w:p>
    <w:p>
      <w:pPr>
        <w:ind w:firstLine="520"/>
        <w:spacing w:after="0" w:line="332" w:lineRule="auto"/>
        <w:tabs>
          <w:tab w:leader="none" w:pos="894" w:val="left"/>
        </w:tabs>
        <w:numPr>
          <w:ilvl w:val="0"/>
          <w:numId w:val="281"/>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11" w:name="page412"/>
    <w:bookmarkEnd w:id="411"/>
    <w:p>
      <w:pPr>
        <w:jc w:val="both"/>
        <w:spacing w:after="0" w:line="265"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2" w:lineRule="exact"/>
        <w:rPr>
          <w:sz w:val="20"/>
          <w:szCs w:val="20"/>
          <w:color w:val="auto"/>
        </w:rPr>
      </w:pPr>
    </w:p>
    <w:p>
      <w:pPr>
        <w:ind w:left="400" w:hanging="394"/>
        <w:spacing w:after="0"/>
        <w:tabs>
          <w:tab w:leader="none" w:pos="400" w:val="left"/>
        </w:tabs>
        <w:numPr>
          <w:ilvl w:val="0"/>
          <w:numId w:val="282"/>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ind w:firstLine="520"/>
        <w:spacing w:after="0" w:line="285" w:lineRule="auto"/>
        <w:tabs>
          <w:tab w:leader="none" w:pos="886" w:val="left"/>
        </w:tabs>
        <w:numPr>
          <w:ilvl w:val="1"/>
          <w:numId w:val="282"/>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0"/>
        <w:spacing w:after="0" w:line="283" w:lineRule="auto"/>
        <w:tabs>
          <w:tab w:leader="none" w:pos="877" w:val="left"/>
        </w:tabs>
        <w:numPr>
          <w:ilvl w:val="1"/>
          <w:numId w:val="282"/>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6" w:lineRule="exact"/>
        <w:rPr>
          <w:rFonts w:ascii="Arial" w:cs="Arial" w:eastAsia="Arial" w:hAnsi="Arial"/>
          <w:sz w:val="13"/>
          <w:szCs w:val="13"/>
          <w:color w:val="auto"/>
        </w:rPr>
      </w:pPr>
    </w:p>
    <w:p>
      <w:pPr>
        <w:jc w:val="both"/>
        <w:ind w:firstLine="520"/>
        <w:spacing w:after="0" w:line="287" w:lineRule="auto"/>
        <w:tabs>
          <w:tab w:leader="none" w:pos="869" w:val="left"/>
        </w:tabs>
        <w:numPr>
          <w:ilvl w:val="1"/>
          <w:numId w:val="282"/>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30" w:lineRule="exact"/>
        <w:rPr>
          <w:rFonts w:ascii="Arial" w:cs="Arial" w:eastAsia="Arial" w:hAnsi="Arial"/>
          <w:sz w:val="13"/>
          <w:szCs w:val="13"/>
          <w:color w:val="auto"/>
        </w:rPr>
      </w:pPr>
    </w:p>
    <w:p>
      <w:pPr>
        <w:ind w:firstLine="6"/>
        <w:spacing w:after="0" w:line="332" w:lineRule="auto"/>
        <w:tabs>
          <w:tab w:leader="none" w:pos="369" w:val="left"/>
        </w:tabs>
        <w:numPr>
          <w:ilvl w:val="0"/>
          <w:numId w:val="282"/>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6">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12" w:name="page413"/>
    <w:bookmarkEnd w:id="412"/>
    <w:p>
      <w:pPr>
        <w:jc w:val="both"/>
        <w:spacing w:after="0" w:line="285"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0" w:lineRule="exact"/>
        <w:rPr>
          <w:sz w:val="20"/>
          <w:szCs w:val="20"/>
          <w:color w:val="auto"/>
        </w:rPr>
      </w:pPr>
    </w:p>
    <w:p>
      <w:pPr>
        <w:ind w:left="380" w:hanging="374"/>
        <w:spacing w:after="0"/>
        <w:tabs>
          <w:tab w:leader="none" w:pos="380" w:val="left"/>
        </w:tabs>
        <w:numPr>
          <w:ilvl w:val="0"/>
          <w:numId w:val="283"/>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1" w:lineRule="exact"/>
        <w:rPr>
          <w:rFonts w:ascii="Arial" w:cs="Arial" w:eastAsia="Arial" w:hAnsi="Arial"/>
          <w:sz w:val="14"/>
          <w:szCs w:val="14"/>
          <w:color w:val="auto"/>
        </w:rPr>
      </w:pPr>
    </w:p>
    <w:p>
      <w:pPr>
        <w:jc w:val="both"/>
        <w:ind w:firstLine="520"/>
        <w:spacing w:after="0" w:line="280" w:lineRule="auto"/>
        <w:tabs>
          <w:tab w:leader="none" w:pos="869" w:val="left"/>
        </w:tabs>
        <w:numPr>
          <w:ilvl w:val="1"/>
          <w:numId w:val="28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w:t>
      </w:r>
    </w:p>
    <w:p>
      <w:pPr>
        <w:spacing w:after="0" w:line="1" w:lineRule="exact"/>
        <w:rPr>
          <w:rFonts w:ascii="Arial" w:cs="Arial" w:eastAsia="Arial" w:hAnsi="Arial"/>
          <w:sz w:val="13"/>
          <w:szCs w:val="13"/>
          <w:color w:val="auto"/>
        </w:rPr>
      </w:pPr>
    </w:p>
    <w:p>
      <w:pPr>
        <w:jc w:val="both"/>
        <w:ind w:firstLine="6"/>
        <w:spacing w:after="0" w:line="275" w:lineRule="auto"/>
        <w:tabs>
          <w:tab w:leader="none" w:pos="179" w:val="left"/>
        </w:tabs>
        <w:numPr>
          <w:ilvl w:val="0"/>
          <w:numId w:val="284"/>
        </w:numPr>
        <w:rPr>
          <w:rFonts w:ascii="Arial" w:cs="Arial" w:eastAsia="Arial" w:hAnsi="Arial"/>
          <w:sz w:val="13"/>
          <w:szCs w:val="13"/>
          <w:color w:val="auto"/>
        </w:rPr>
      </w:pPr>
      <w:r>
        <w:rPr>
          <w:rFonts w:ascii="Arial" w:cs="Arial" w:eastAsia="Arial" w:hAnsi="Arial"/>
          <w:sz w:val="13"/>
          <w:szCs w:val="13"/>
          <w:color w:val="auto"/>
        </w:rPr>
        <w:t>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w:t>
      </w:r>
    </w:p>
    <w:p>
      <w:pPr>
        <w:jc w:val="both"/>
        <w:spacing w:after="0" w:line="283" w:lineRule="auto"/>
        <w:rPr>
          <w:rFonts w:ascii="Arial" w:cs="Arial" w:eastAsia="Arial" w:hAnsi="Arial"/>
          <w:sz w:val="13"/>
          <w:szCs w:val="13"/>
          <w:color w:val="auto"/>
        </w:rPr>
      </w:pPr>
      <w:r>
        <w:rPr>
          <w:rFonts w:ascii="Arial" w:cs="Arial" w:eastAsia="Arial" w:hAnsi="Arial"/>
          <w:sz w:val="13"/>
          <w:szCs w:val="13"/>
          <w:color w:val="auto"/>
        </w:rPr>
        <w:t xml:space="preserve">(v)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32" w:lineRule="exact"/>
        <w:rPr>
          <w:rFonts w:ascii="Arial" w:cs="Arial" w:eastAsia="Arial" w:hAnsi="Arial"/>
          <w:sz w:val="13"/>
          <w:szCs w:val="13"/>
          <w:color w:val="auto"/>
        </w:rPr>
      </w:pPr>
    </w:p>
    <w:p>
      <w:pPr>
        <w:ind w:left="880" w:hanging="360"/>
        <w:spacing w:after="0"/>
        <w:tabs>
          <w:tab w:leader="none" w:pos="880" w:val="left"/>
        </w:tabs>
        <w:numPr>
          <w:ilvl w:val="1"/>
          <w:numId w:val="2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1" w:lineRule="exact"/>
        <w:rPr>
          <w:rFonts w:ascii="Arial" w:cs="Arial" w:eastAsia="Arial" w:hAnsi="Arial"/>
          <w:sz w:val="14"/>
          <w:szCs w:val="14"/>
          <w:color w:val="auto"/>
        </w:rPr>
      </w:pPr>
    </w:p>
    <w:p>
      <w:pPr>
        <w:ind w:left="880" w:hanging="360"/>
        <w:spacing w:after="0"/>
        <w:tabs>
          <w:tab w:leader="none" w:pos="880" w:val="left"/>
        </w:tabs>
        <w:numPr>
          <w:ilvl w:val="1"/>
          <w:numId w:val="2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413" w:name="page414"/>
    <w:bookmarkEnd w:id="413"/>
    <w:p>
      <w:pPr>
        <w:jc w:val="both"/>
        <w:spacing w:after="0" w:line="303"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0"/>
        <w:spacing w:after="0" w:line="294" w:lineRule="auto"/>
        <w:tabs>
          <w:tab w:leader="none" w:pos="8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or (iii)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3"/>
          <w:szCs w:val="13"/>
          <w:color w:val="464646"/>
        </w:rPr>
        <w:t>,</w:t>
      </w:r>
      <w:r>
        <w:rPr>
          <w:rFonts w:ascii="Arial" w:cs="Arial" w:eastAsia="Arial" w:hAnsi="Arial"/>
          <w:sz w:val="13"/>
          <w:szCs w:val="13"/>
          <w:color w:val="auto"/>
        </w:rPr>
        <w:t xml:space="preserve"> (y) such event is not reversed or corrected </w:t>
      </w:r>
      <w:r>
        <w:rPr>
          <w:rFonts w:ascii="Arial" w:cs="Arial" w:eastAsia="Arial" w:hAnsi="Arial"/>
          <w:sz w:val="13"/>
          <w:szCs w:val="13"/>
          <w:color w:val="161515"/>
        </w:rPr>
        <w:t>by</w:t>
      </w:r>
      <w:r>
        <w:rPr>
          <w:rFonts w:ascii="Arial" w:cs="Arial" w:eastAsia="Arial" w:hAnsi="Arial"/>
          <w:sz w:val="13"/>
          <w:szCs w:val="13"/>
          <w:color w:val="auto"/>
        </w:rPr>
        <w:t xml:space="preserve"> the Company within 30 days of its receipt of such written objection, and (z) Executive separates from service within 60 days following the expiration of that cure period.</w:t>
      </w:r>
    </w:p>
    <w:p>
      <w:pPr>
        <w:spacing w:after="0" w:line="124" w:lineRule="exact"/>
        <w:rPr>
          <w:rFonts w:ascii="Arial" w:cs="Arial" w:eastAsia="Arial" w:hAnsi="Arial"/>
          <w:sz w:val="13"/>
          <w:szCs w:val="13"/>
          <w:color w:val="auto"/>
        </w:rPr>
      </w:pPr>
    </w:p>
    <w:p>
      <w:pPr>
        <w:jc w:val="both"/>
        <w:ind w:firstLine="520"/>
        <w:spacing w:after="0" w:line="273" w:lineRule="auto"/>
        <w:tabs>
          <w:tab w:leader="none" w:pos="871" w:val="left"/>
        </w:tabs>
        <w:numPr>
          <w:ilvl w:val="1"/>
          <w:numId w:val="2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86"/>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2" w:lineRule="auto"/>
        <w:tabs>
          <w:tab w:leader="none" w:pos="375" w:val="left"/>
        </w:tabs>
        <w:numPr>
          <w:ilvl w:val="0"/>
          <w:numId w:val="286"/>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100" w:lineRule="exact"/>
        <w:rPr>
          <w:rFonts w:ascii="Arial" w:cs="Arial" w:eastAsia="Arial" w:hAnsi="Arial"/>
          <w:sz w:val="13"/>
          <w:szCs w:val="13"/>
          <w:color w:val="auto"/>
        </w:rPr>
      </w:pPr>
    </w:p>
    <w:p>
      <w:pPr>
        <w:ind w:firstLine="6"/>
        <w:spacing w:after="0" w:line="291" w:lineRule="auto"/>
        <w:tabs>
          <w:tab w:leader="none" w:pos="375" w:val="left"/>
        </w:tabs>
        <w:numPr>
          <w:ilvl w:val="0"/>
          <w:numId w:val="286"/>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3" w:lineRule="auto"/>
        <w:tabs>
          <w:tab w:leader="none" w:pos="375" w:val="left"/>
        </w:tabs>
        <w:numPr>
          <w:ilvl w:val="0"/>
          <w:numId w:val="286"/>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1" w:lineRule="auto"/>
        <w:tabs>
          <w:tab w:leader="none" w:pos="375" w:val="left"/>
        </w:tabs>
        <w:numPr>
          <w:ilvl w:val="0"/>
          <w:numId w:val="286"/>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414" w:name="page415"/>
    <w:bookmarkEnd w:id="414"/>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his compensation.</w:t>
      </w:r>
    </w:p>
    <w:p>
      <w:pPr>
        <w:spacing w:after="0" w:line="189" w:lineRule="exact"/>
        <w:rPr>
          <w:sz w:val="20"/>
          <w:szCs w:val="20"/>
          <w:color w:val="auto"/>
        </w:rPr>
      </w:pPr>
    </w:p>
    <w:p>
      <w:pPr>
        <w:ind w:left="380" w:hanging="374"/>
        <w:spacing w:after="0"/>
        <w:tabs>
          <w:tab w:leader="none" w:pos="380" w:val="left"/>
        </w:tabs>
        <w:numPr>
          <w:ilvl w:val="0"/>
          <w:numId w:val="287"/>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5" w:lineRule="exact"/>
        <w:rPr>
          <w:rFonts w:ascii="Arial" w:cs="Arial" w:eastAsia="Arial" w:hAnsi="Arial"/>
          <w:sz w:val="14"/>
          <w:szCs w:val="14"/>
          <w:color w:val="auto"/>
        </w:rPr>
      </w:pPr>
    </w:p>
    <w:p>
      <w:pPr>
        <w:jc w:val="both"/>
        <w:ind w:firstLine="520"/>
        <w:spacing w:after="0" w:line="270" w:lineRule="auto"/>
        <w:tabs>
          <w:tab w:leader="none" w:pos="869" w:val="left"/>
        </w:tabs>
        <w:numPr>
          <w:ilvl w:val="1"/>
          <w:numId w:val="287"/>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2" w:lineRule="exact"/>
        <w:rPr>
          <w:rFonts w:ascii="Arial" w:cs="Arial" w:eastAsia="Arial" w:hAnsi="Arial"/>
          <w:sz w:val="14"/>
          <w:szCs w:val="14"/>
          <w:color w:val="auto"/>
        </w:rPr>
      </w:pPr>
    </w:p>
    <w:p>
      <w:pPr>
        <w:jc w:val="both"/>
        <w:ind w:firstLine="520"/>
        <w:spacing w:after="0" w:line="300" w:lineRule="auto"/>
        <w:tabs>
          <w:tab w:leader="none" w:pos="877" w:val="left"/>
        </w:tabs>
        <w:numPr>
          <w:ilvl w:val="1"/>
          <w:numId w:val="287"/>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60"/>
        <w:spacing w:after="0"/>
        <w:tabs>
          <w:tab w:leader="none" w:pos="880" w:val="left"/>
        </w:tabs>
        <w:numPr>
          <w:ilvl w:val="1"/>
          <w:numId w:val="287"/>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77" w:lineRule="exact"/>
        <w:rPr>
          <w:rFonts w:ascii="Arial" w:cs="Arial" w:eastAsia="Arial" w:hAnsi="Arial"/>
          <w:sz w:val="14"/>
          <w:szCs w:val="14"/>
          <w:color w:val="auto"/>
        </w:rPr>
      </w:pPr>
    </w:p>
    <w:p>
      <w:pPr>
        <w:ind w:left="400" w:hanging="394"/>
        <w:spacing w:after="0"/>
        <w:tabs>
          <w:tab w:leader="none" w:pos="400" w:val="left"/>
        </w:tabs>
        <w:numPr>
          <w:ilvl w:val="0"/>
          <w:numId w:val="287"/>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3" w:lineRule="exact"/>
        <w:rPr>
          <w:rFonts w:ascii="Arial" w:cs="Arial" w:eastAsia="Arial" w:hAnsi="Arial"/>
          <w:sz w:val="13"/>
          <w:szCs w:val="13"/>
          <w:color w:val="auto"/>
        </w:rPr>
      </w:pPr>
    </w:p>
    <w:p>
      <w:pPr>
        <w:jc w:val="both"/>
        <w:ind w:firstLine="6"/>
        <w:spacing w:after="0" w:line="260" w:lineRule="auto"/>
        <w:tabs>
          <w:tab w:leader="none" w:pos="392" w:val="left"/>
        </w:tabs>
        <w:numPr>
          <w:ilvl w:val="0"/>
          <w:numId w:val="287"/>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415" w:name="page416"/>
    <w:bookmarkEnd w:id="415"/>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78" w:lineRule="exact"/>
        <w:rPr>
          <w:sz w:val="20"/>
          <w:szCs w:val="20"/>
          <w:color w:val="auto"/>
        </w:rPr>
      </w:pPr>
    </w:p>
    <w:p>
      <w:pPr>
        <w:ind w:left="400" w:hanging="394"/>
        <w:spacing w:after="0"/>
        <w:tabs>
          <w:tab w:leader="none" w:pos="400" w:val="left"/>
        </w:tabs>
        <w:numPr>
          <w:ilvl w:val="0"/>
          <w:numId w:val="288"/>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1" w:lineRule="exact"/>
        <w:rPr>
          <w:rFonts w:ascii="Arial" w:cs="Arial" w:eastAsia="Arial" w:hAnsi="Arial"/>
          <w:sz w:val="14"/>
          <w:szCs w:val="14"/>
          <w:color w:val="auto"/>
        </w:rPr>
      </w:pPr>
    </w:p>
    <w:p>
      <w:pPr>
        <w:jc w:val="both"/>
        <w:ind w:firstLine="6"/>
        <w:spacing w:after="0" w:line="262" w:lineRule="auto"/>
        <w:tabs>
          <w:tab w:leader="none" w:pos="392" w:val="left"/>
        </w:tabs>
        <w:numPr>
          <w:ilvl w:val="0"/>
          <w:numId w:val="288"/>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4" w:lineRule="exact"/>
        <w:rPr>
          <w:rFonts w:ascii="Arial" w:cs="Arial" w:eastAsia="Arial" w:hAnsi="Arial"/>
          <w:sz w:val="14"/>
          <w:szCs w:val="14"/>
          <w:color w:val="auto"/>
        </w:rPr>
      </w:pPr>
    </w:p>
    <w:p>
      <w:pPr>
        <w:ind w:firstLine="6"/>
        <w:spacing w:after="0" w:line="291" w:lineRule="auto"/>
        <w:tabs>
          <w:tab w:leader="none" w:pos="375" w:val="left"/>
        </w:tabs>
        <w:numPr>
          <w:ilvl w:val="0"/>
          <w:numId w:val="288"/>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one and the same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6089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16" w:name="page417"/>
    <w:bookmarkEnd w:id="416"/>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7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6" w:lineRule="exact"/>
        <w:rPr>
          <w:sz w:val="20"/>
          <w:szCs w:val="20"/>
          <w:color w:val="auto"/>
        </w:rPr>
      </w:pPr>
    </w:p>
    <w:tbl>
      <w:tblPr>
        <w:tblLayout w:type="fixed"/>
        <w:tblInd w:w="512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Gregory Russsotti, Ph.D.</w:t>
            </w:r>
          </w:p>
        </w:tc>
      </w:tr>
      <w:tr>
        <w:trPr>
          <w:trHeight w:val="34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Gregory Russotti,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Gregory Russotti, Ph.D.</w:t>
            </w:r>
          </w:p>
        </w:tc>
      </w:tr>
    </w:tbl>
    <w:p>
      <w:pPr>
        <w:spacing w:after="0" w:line="16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353060</wp:posOffset>
            </wp:positionV>
            <wp:extent cx="716089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0760"/>
          </w:cols>
          <w:pgMar w:left="820" w:top="750" w:right="319" w:bottom="1440" w:gutter="0" w:footer="0" w:header="0"/>
        </w:sectPr>
      </w:pPr>
    </w:p>
    <w:bookmarkStart w:id="417" w:name="page418"/>
    <w:bookmarkEnd w:id="417"/>
    <w:p>
      <w:pPr>
        <w:jc w:val="right"/>
        <w:spacing w:after="0"/>
        <w:rPr>
          <w:sz w:val="20"/>
          <w:szCs w:val="20"/>
          <w:color w:val="auto"/>
        </w:rPr>
      </w:pPr>
      <w:r>
        <w:rPr>
          <w:rFonts w:ascii="Arial" w:cs="Arial" w:eastAsia="Arial" w:hAnsi="Arial"/>
          <w:sz w:val="14"/>
          <w:szCs w:val="14"/>
          <w:b w:val="1"/>
          <w:bCs w:val="1"/>
          <w:color w:val="auto"/>
        </w:rPr>
        <w:t>Exhibit 23.1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6" w:lineRule="exact"/>
        <w:rPr>
          <w:sz w:val="20"/>
          <w:szCs w:val="20"/>
          <w:color w:val="auto"/>
        </w:rPr>
      </w:pPr>
    </w:p>
    <w:p>
      <w:pPr>
        <w:spacing w:after="0" w:line="373" w:lineRule="auto"/>
        <w:rPr>
          <w:sz w:val="20"/>
          <w:szCs w:val="20"/>
          <w:color w:val="auto"/>
        </w:rPr>
      </w:pPr>
      <w:r>
        <w:rPr>
          <w:rFonts w:ascii="Arial" w:cs="Arial" w:eastAsia="Arial" w:hAnsi="Arial"/>
          <w:sz w:val="12"/>
          <w:szCs w:val="12"/>
          <w:color w:val="auto"/>
        </w:rPr>
        <w:t>We consent to the reference to our firm under the caption “Experts” and to the use of our report dated May 5, 2021 (except for the reverse stock split discussed in Note 2, as to which the date is June 14, 2021) in Amendment No. 1 to the Registration Statement (Form S-1 No. 333-256648) and related Prospectus of Century Therapeutics, Inc. for the registration of shares of its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June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6089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sectPr>
      <w:pgSz w:w="11900" w:h="16838" w:orient="portrait"/>
      <w:cols w:equalWidth="0" w:num="1">
        <w:col w:w="11280"/>
      </w:cols>
      <w:pgMar w:left="300" w:top="29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1)"/>
      <w:numFmt w:val="decimal"/>
      <w:start w:val="1"/>
    </w:lvl>
  </w:abstractNum>
  <w:abstractNum w:abstractNumId="1">
    <w:nsid w:val="597B4D84"/>
    <w:multiLevelType w:val="hybridMultilevel"/>
    <w:lvl w:ilvl="0">
      <w:lvlJc w:val="left"/>
      <w:lvlText w:val="(%1)"/>
      <w:numFmt w:val="decimal"/>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1)"/>
      <w:numFmt w:val="decimal"/>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1)"/>
      <w:numFmt w:val="decimal"/>
      <w:start w:val="1"/>
    </w:lvl>
  </w:abstractNum>
  <w:abstractNum w:abstractNumId="13">
    <w:nsid w:val="73D4D3C4"/>
    <w:multiLevelType w:val="hybridMultilevel"/>
    <w:lvl w:ilvl="0">
      <w:lvlJc w:val="left"/>
      <w:lvlText w:val="(%1)"/>
      <w:numFmt w:val="decimal"/>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
      <w:numFmt w:val="bullet"/>
      <w:start w:val="1"/>
    </w:lvl>
  </w:abstractNum>
  <w:abstractNum w:abstractNumId="37">
    <w:nsid w:val="F856867"/>
    <w:multiLevelType w:val="hybridMultilevel"/>
    <w:lvl w:ilvl="0">
      <w:lvlJc w:val="left"/>
      <w:lvlText w:val="•"/>
      <w:numFmt w:val="bullet"/>
      <w:start w:val="1"/>
    </w:lvl>
  </w:abstractNum>
  <w:abstractNum w:abstractNumId="38">
    <w:nsid w:val="11B1CC33"/>
    <w:multiLevelType w:val="hybridMultilevel"/>
    <w:lvl w:ilvl="0">
      <w:lvlJc w:val="left"/>
      <w:lvlText w:val="•"/>
      <w:numFmt w:val="bullet"/>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
      <w:numFmt w:val="bullet"/>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abstractNum>
  <w:abstractNum w:abstractNumId="43">
    <w:nsid w:val="4FA0D2E3"/>
    <w:multiLevelType w:val="hybridMultilevel"/>
    <w:lvl w:ilvl="0">
      <w:lvlJc w:val="left"/>
      <w:lvlText w:val="•"/>
      <w:numFmt w:val="bullet"/>
      <w:start w:val="1"/>
    </w:lvl>
  </w:abstractNum>
  <w:abstractNum w:abstractNumId="44">
    <w:nsid w:val="6B1D2C14"/>
    <w:multiLevelType w:val="hybridMultilevel"/>
    <w:lvl w:ilvl="0">
      <w:lvlJc w:val="left"/>
      <w:lvlText w:val="•"/>
      <w:numFmt w:val="bullet"/>
      <w:start w:val="1"/>
    </w:lvl>
  </w:abstractNum>
  <w:abstractNum w:abstractNumId="45">
    <w:nsid w:val="68B867D3"/>
    <w:multiLevelType w:val="hybridMultilevel"/>
    <w:lvl w:ilvl="0">
      <w:lvlJc w:val="left"/>
      <w:lvlText w:val="•"/>
      <w:numFmt w:val="bullet"/>
      <w:start w:val="1"/>
    </w:lvl>
  </w:abstractNum>
  <w:abstractNum w:abstractNumId="46">
    <w:nsid w:val="3F7F5DD9"/>
    <w:multiLevelType w:val="hybridMultilevel"/>
    <w:lvl w:ilvl="0">
      <w:lvlJc w:val="left"/>
      <w:lvlText w:val="•"/>
      <w:numFmt w:val="bullet"/>
      <w:start w:val="1"/>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
      <w:numFmt w:val="bullet"/>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1)"/>
      <w:numFmt w:val="decimal"/>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1)"/>
      <w:numFmt w:val="decimal"/>
      <w:start w:val="1"/>
    </w:lvl>
  </w:abstractNum>
  <w:abstractNum w:abstractNumId="56">
    <w:nsid w:val="2E8A6394"/>
    <w:multiLevelType w:val="hybridMultilevel"/>
    <w:lvl w:ilvl="0">
      <w:lvlJc w:val="left"/>
      <w:lvlText w:val="(%1)"/>
      <w:numFmt w:val="decimal"/>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1)"/>
      <w:numFmt w:val="decimal"/>
      <w:start w:val="1"/>
    </w:lvl>
  </w:abstractNum>
  <w:abstractNum w:abstractNumId="63">
    <w:nsid w:val="21FAA2FA"/>
    <w:multiLevelType w:val="hybridMultilevel"/>
    <w:lvl w:ilvl="0">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
      <w:numFmt w:val="bullet"/>
      <w:start w:val="1"/>
    </w:lvl>
  </w:abstractNum>
  <w:abstractNum w:abstractNumId="67">
    <w:nsid w:val="14217E23"/>
    <w:multiLevelType w:val="hybridMultilevel"/>
    <w:lvl w:ilvl="0">
      <w:lvlJc w:val="left"/>
      <w:lvlText w:val="•"/>
      <w:numFmt w:val="bullet"/>
      <w:start w:val="1"/>
    </w:lvl>
  </w:abstractNum>
  <w:abstractNum w:abstractNumId="68">
    <w:nsid w:val="710757D0"/>
    <w:multiLevelType w:val="hybridMultilevel"/>
    <w:lvl w:ilvl="0">
      <w:lvlJc w:val="left"/>
      <w:lvlText w:val="•"/>
      <w:numFmt w:val="bullet"/>
      <w:start w:val="1"/>
    </w:lvl>
  </w:abstractNum>
  <w:abstractNum w:abstractNumId="69">
    <w:nsid w:val="5015CD1A"/>
    <w:multiLevelType w:val="hybridMultilevel"/>
    <w:lvl w:ilvl="0">
      <w:lvlJc w:val="left"/>
      <w:lvlText w:val="(%1)"/>
      <w:numFmt w:val="decimal"/>
      <w:start w:val="1"/>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
      <w:numFmt w:val="bullet"/>
      <w:start w:val="1"/>
    </w:lvl>
  </w:abstractNum>
  <w:abstractNum w:abstractNumId="73">
    <w:nsid w:val="368DB37E"/>
    <w:multiLevelType w:val="hybridMultilevel"/>
    <w:lvl w:ilvl="0">
      <w:lvlJc w:val="left"/>
      <w:lvlText w:val="(%1)"/>
      <w:numFmt w:val="decimal"/>
      <w:start w:val="1"/>
    </w:lvl>
  </w:abstractNum>
  <w:abstractNum w:abstractNumId="74">
    <w:nsid w:val="6A3B714C"/>
    <w:multiLevelType w:val="hybridMultilevel"/>
    <w:lvl w:ilvl="0">
      <w:lvlJc w:val="left"/>
      <w:lvlText w:val="•"/>
      <w:numFmt w:val="bullet"/>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
      <w:numFmt w:val="bullet"/>
      <w:start w:val="1"/>
    </w:lvl>
  </w:abstractNum>
  <w:abstractNum w:abstractNumId="77">
    <w:nsid w:val="29BACF25"/>
    <w:multiLevelType w:val="hybridMultilevel"/>
    <w:lvl w:ilvl="0">
      <w:lvlJc w:val="left"/>
      <w:lvlText w:val="•"/>
      <w:numFmt w:val="bullet"/>
      <w:start w:val="1"/>
    </w:lvl>
  </w:abstractNum>
  <w:abstractNum w:abstractNumId="78">
    <w:nsid w:val="5D5BABB3"/>
    <w:multiLevelType w:val="hybridMultilevel"/>
    <w:lvl w:ilvl="0">
      <w:lvlJc w:val="left"/>
      <w:lvlText w:val="•"/>
      <w:numFmt w:val="bullet"/>
      <w:start w:val="1"/>
    </w:lvl>
  </w:abstractNum>
  <w:abstractNum w:abstractNumId="79">
    <w:nsid w:val="51BF6B48"/>
    <w:multiLevelType w:val="hybridMultilevel"/>
    <w:lvl w:ilvl="0">
      <w:lvlJc w:val="left"/>
      <w:lvlText w:val="%1"/>
      <w:numFmt w:val="decimal"/>
      <w:start w:val="50"/>
    </w:lvl>
  </w:abstractNum>
  <w:abstractNum w:abstractNumId="80">
    <w:nsid w:val="7E0F6384"/>
    <w:multiLevelType w:val="hybridMultilevel"/>
    <w:lvl w:ilvl="0">
      <w:lvlJc w:val="left"/>
      <w:lvlText w:val="(%1)"/>
      <w:numFmt w:val="decimal"/>
      <w:start w:val="1"/>
    </w:lvl>
  </w:abstractNum>
  <w:abstractNum w:abstractNumId="81">
    <w:nsid w:val="2B4B8B53"/>
    <w:multiLevelType w:val="hybridMultilevel"/>
    <w:lvl w:ilvl="0">
      <w:lvlJc w:val="left"/>
      <w:lvlText w:val="•"/>
      <w:numFmt w:val="bullet"/>
      <w:start w:val="1"/>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
      <w:numFmt w:val="bullet"/>
      <w:start w:val="1"/>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1)"/>
      <w:numFmt w:val="decimal"/>
      <w:start w:val="1"/>
    </w:lvl>
  </w:abstractNum>
  <w:abstractNum w:abstractNumId="89">
    <w:nsid w:val="EAD6F57"/>
    <w:multiLevelType w:val="hybridMultilevel"/>
    <w:lvl w:ilvl="0">
      <w:lvlJc w:val="left"/>
      <w:lvlText w:val="(%1)"/>
      <w:numFmt w:val="lowerRoman"/>
      <w:start w:val="2"/>
    </w:lvl>
  </w:abstractNum>
  <w:abstractNum w:abstractNumId="90">
    <w:nsid w:val="6EC9D844"/>
    <w:multiLevelType w:val="hybridMultilevel"/>
    <w:lvl w:ilvl="0">
      <w:lvlJc w:val="left"/>
      <w:lvlText w:val="(%1)"/>
      <w:numFmt w:val="lowerRoman"/>
      <w:start w:val="2"/>
    </w:lvl>
  </w:abstractNum>
  <w:abstractNum w:abstractNumId="91">
    <w:nsid w:val="5C49EAEE"/>
    <w:multiLevelType w:val="hybridMultilevel"/>
    <w:lvl w:ilvl="0">
      <w:lvlJc w:val="left"/>
      <w:lvlText w:val="(%1)"/>
      <w:numFmt w:val="lowerRoman"/>
      <w:start w:val="1"/>
    </w:lvl>
  </w:abstractNum>
  <w:abstractNum w:abstractNumId="92">
    <w:nsid w:val="64AF49B"/>
    <w:multiLevelType w:val="hybridMultilevel"/>
    <w:lvl w:ilvl="0">
      <w:lvlJc w:val="left"/>
      <w:lvlText w:val="(%1)"/>
      <w:numFmt w:val="decimal"/>
      <w:start w:val="1"/>
    </w:lvl>
  </w:abstractNum>
  <w:abstractNum w:abstractNumId="93">
    <w:nsid w:val="397C46BC"/>
    <w:multiLevelType w:val="hybridMultilevel"/>
    <w:lvl w:ilvl="0">
      <w:lvlJc w:val="left"/>
      <w:lvlText w:val="•"/>
      <w:numFmt w:val="bullet"/>
      <w:start w:val="1"/>
    </w:lvl>
  </w:abstractNum>
  <w:abstractNum w:abstractNumId="94">
    <w:nsid w:val="7E448DE9"/>
    <w:multiLevelType w:val="hybridMultilevel"/>
    <w:lvl w:ilvl="0">
      <w:lvlJc w:val="left"/>
      <w:lvlText w:val="(%1)"/>
      <w:numFmt w:val="lowerRoman"/>
      <w:start w:val="2"/>
    </w:lvl>
  </w:abstractNum>
  <w:abstractNum w:abstractNumId="95">
    <w:nsid w:val="5A9CC3E5"/>
    <w:multiLevelType w:val="hybridMultilevel"/>
    <w:lvl w:ilvl="0">
      <w:lvlJc w:val="left"/>
      <w:lvlText w:val="(%1)"/>
      <w:numFmt w:val="lowerRoman"/>
      <w:start w:val="2"/>
    </w:lvl>
  </w:abstractNum>
  <w:abstractNum w:abstractNumId="96">
    <w:nsid w:val="1AFE3625"/>
    <w:multiLevelType w:val="hybridMultilevel"/>
    <w:lvl w:ilvl="0">
      <w:lvlJc w:val="left"/>
      <w:lvlText w:val="(%1)"/>
      <w:numFmt w:val="lowerRoman"/>
      <w:start w:val="1"/>
    </w:lvl>
  </w:abstractNum>
  <w:abstractNum w:abstractNumId="97">
    <w:nsid w:val="3CA88ECF"/>
    <w:multiLevelType w:val="hybridMultilevel"/>
    <w:lvl w:ilvl="0">
      <w:lvlJc w:val="left"/>
      <w:lvlText w:val="•"/>
      <w:numFmt w:val="bullet"/>
      <w:start w:val="1"/>
    </w:lvl>
  </w:abstractNum>
  <w:abstractNum w:abstractNumId="98">
    <w:nsid w:val="6EBE4208"/>
    <w:multiLevelType w:val="hybridMultilevel"/>
    <w:lvl w:ilvl="0">
      <w:lvlJc w:val="left"/>
      <w:lvlText w:val="(%1)"/>
      <w:numFmt w:val="decimal"/>
      <w:start w:val="1"/>
    </w:lvl>
  </w:abstractNum>
  <w:abstractNum w:abstractNumId="99">
    <w:nsid w:val="C058DF5"/>
    <w:multiLevelType w:val="hybridMultilevel"/>
    <w:lvl w:ilvl="0">
      <w:lvlJc w:val="left"/>
      <w:lvlText w:val="(%1)"/>
      <w:numFmt w:val="decimal"/>
      <w:start w:val="5"/>
    </w:lvl>
  </w:abstractNum>
  <w:abstractNum w:abstractNumId="100">
    <w:nsid w:val="CBE5BE9"/>
    <w:multiLevelType w:val="hybridMultilevel"/>
    <w:lvl w:ilvl="0">
      <w:lvlJc w:val="left"/>
      <w:lvlText w:val="(%1)"/>
      <w:numFmt w:val="decimal"/>
      <w:start w:val="3"/>
    </w:lvl>
  </w:abstractNum>
  <w:abstractNum w:abstractNumId="101">
    <w:nsid w:val="3102BBE2"/>
    <w:multiLevelType w:val="hybridMultilevel"/>
    <w:lvl w:ilvl="0">
      <w:lvlJc w:val="left"/>
      <w:lvlText w:val="(%1)"/>
      <w:numFmt w:val="decimal"/>
      <w:start w:val="2"/>
    </w:lvl>
  </w:abstractNum>
  <w:abstractNum w:abstractNumId="102">
    <w:nsid w:val="26A02C5E"/>
    <w:multiLevelType w:val="hybridMultilevel"/>
    <w:lvl w:ilvl="0">
      <w:lvlJc w:val="left"/>
      <w:lvlText w:val="(%1)"/>
      <w:numFmt w:val="lowerRoman"/>
      <w:start w:val="5"/>
    </w:lvl>
  </w:abstractNum>
  <w:abstractNum w:abstractNumId="103">
    <w:nsid w:val="541C8153"/>
    <w:multiLevelType w:val="hybridMultilevel"/>
    <w:lvl w:ilvl="0">
      <w:lvlJc w:val="left"/>
      <w:lvlText w:val="•"/>
      <w:numFmt w:val="bullet"/>
      <w:start w:val="1"/>
    </w:lvl>
  </w:abstractNum>
  <w:abstractNum w:abstractNumId="104">
    <w:nsid w:val="67906F60"/>
    <w:multiLevelType w:val="hybridMultilevel"/>
    <w:lvl w:ilvl="0">
      <w:lvlJc w:val="left"/>
      <w:lvlText w:val="•"/>
      <w:numFmt w:val="bullet"/>
      <w:start w:val="1"/>
    </w:lvl>
  </w:abstractNum>
  <w:abstractNum w:abstractNumId="105">
    <w:nsid w:val="10DB9DAA"/>
    <w:multiLevelType w:val="hybridMultilevel"/>
    <w:lvl w:ilvl="0">
      <w:lvlJc w:val="left"/>
      <w:lvlText w:val="•"/>
      <w:numFmt w:val="bullet"/>
      <w:start w:val="1"/>
    </w:lvl>
  </w:abstractNum>
  <w:abstractNum w:abstractNumId="106">
    <w:nsid w:val="697D2D2"/>
    <w:multiLevelType w:val="hybridMultilevel"/>
    <w:lvl w:ilvl="0">
      <w:lvlJc w:val="left"/>
      <w:lvlText w:val="•"/>
      <w:numFmt w:val="bullet"/>
      <w:start w:val="1"/>
    </w:lvl>
  </w:abstractNum>
  <w:abstractNum w:abstractNumId="107">
    <w:nsid w:val="6D68AB2"/>
    <w:multiLevelType w:val="hybridMultilevel"/>
    <w:lvl w:ilvl="0">
      <w:lvlJc w:val="left"/>
      <w:lvlText w:val="(%1)"/>
      <w:numFmt w:val="lowerRoman"/>
      <w:start w:val="4"/>
    </w:lvl>
  </w:abstractNum>
  <w:abstractNum w:abstractNumId="108">
    <w:nsid w:val="3A966CD0"/>
    <w:multiLevelType w:val="hybridMultilevel"/>
    <w:lvl w:ilvl="0">
      <w:lvlJc w:val="left"/>
      <w:lvlText w:val="(%1)"/>
      <w:numFmt w:val="lowerRoman"/>
      <w:start w:val="1"/>
    </w:lvl>
  </w:abstractNum>
  <w:abstractNum w:abstractNumId="109">
    <w:nsid w:val="63F37E85"/>
    <w:multiLevelType w:val="hybridMultilevel"/>
    <w:lvl w:ilvl="0">
      <w:lvlJc w:val="left"/>
      <w:lvlText w:val="(%1)"/>
      <w:numFmt w:val="lowerRoman"/>
      <w:start w:val="11"/>
    </w:lvl>
  </w:abstractNum>
  <w:abstractNum w:abstractNumId="110">
    <w:nsid w:val="5895F5FA"/>
    <w:multiLevelType w:val="hybridMultilevel"/>
    <w:lvl w:ilvl="0">
      <w:lvlJc w:val="left"/>
      <w:lvlText w:val="(%1)"/>
      <w:numFmt w:val="lowerLetter"/>
      <w:start w:val="4"/>
    </w:lvl>
  </w:abstractNum>
  <w:abstractNum w:abstractNumId="111">
    <w:nsid w:val="38A5D054"/>
    <w:multiLevelType w:val="hybridMultilevel"/>
    <w:lvl w:ilvl="0">
      <w:lvlJc w:val="left"/>
      <w:lvlText w:val="•"/>
      <w:numFmt w:val="bullet"/>
      <w:start w:val="1"/>
    </w:lvl>
  </w:abstractNum>
  <w:abstractNum w:abstractNumId="112">
    <w:nsid w:val="F3F09D8"/>
    <w:multiLevelType w:val="hybridMultilevel"/>
    <w:lvl w:ilvl="0">
      <w:lvlJc w:val="left"/>
      <w:lvlText w:val="%1)"/>
      <w:numFmt w:val="lowerLetter"/>
      <w:start w:val="1"/>
    </w:lvl>
  </w:abstractNum>
  <w:abstractNum w:abstractNumId="113">
    <w:nsid w:val="4B793735"/>
    <w:multiLevelType w:val="hybridMultilevel"/>
    <w:lvl w:ilvl="0">
      <w:lvlJc w:val="left"/>
      <w:lvlText w:val="%1)"/>
      <w:numFmt w:val="lowerLetter"/>
      <w:start w:val="1"/>
    </w:lvl>
  </w:abstractNum>
  <w:abstractNum w:abstractNumId="114">
    <w:nsid w:val="4A10B4E8"/>
    <w:multiLevelType w:val="hybridMultilevel"/>
    <w:lvl w:ilvl="0">
      <w:lvlJc w:val="left"/>
      <w:lvlText w:val="(%1)"/>
      <w:numFmt w:val="lowerLetter"/>
      <w:start w:val="4"/>
    </w:lvl>
  </w:abstractNum>
  <w:abstractNum w:abstractNumId="115">
    <w:nsid w:val="43D3BCD4"/>
    <w:multiLevelType w:val="hybridMultilevel"/>
    <w:lvl w:ilvl="0">
      <w:lvlJc w:val="left"/>
      <w:lvlText w:val="(%1)"/>
      <w:numFmt w:val="lowerLetter"/>
      <w:start w:val="1"/>
    </w:lvl>
  </w:abstractNum>
  <w:abstractNum w:abstractNumId="116">
    <w:nsid w:val="4C2A7166"/>
    <w:multiLevelType w:val="hybridMultilevel"/>
    <w:lvl w:ilvl="0">
      <w:lvlJc w:val="left"/>
      <w:lvlText w:val="(%1)"/>
      <w:numFmt w:val="lowerLetter"/>
      <w:start w:val="4"/>
    </w:lvl>
    <w:lvl w:ilvl="1">
      <w:lvlJc w:val="left"/>
      <w:lvlText w:val="(%2)"/>
      <w:numFmt w:val="lowerRoman"/>
      <w:start w:val="1"/>
    </w:lvl>
  </w:abstractNum>
  <w:abstractNum w:abstractNumId="117">
    <w:nsid w:val="2E534A82"/>
    <w:multiLevelType w:val="hybridMultilevel"/>
    <w:lvl w:ilvl="0">
      <w:lvlJc w:val="left"/>
      <w:lvlText w:val="(%1)"/>
      <w:numFmt w:val="lowerRoman"/>
      <w:start w:val="1"/>
    </w:lvl>
  </w:abstractNum>
  <w:abstractNum w:abstractNumId="118">
    <w:nsid w:val="26F2D364"/>
    <w:multiLevelType w:val="hybridMultilevel"/>
    <w:lvl w:ilvl="0">
      <w:lvlJc w:val="left"/>
      <w:lvlText w:val="(%1)"/>
      <w:numFmt w:val="lowerLetter"/>
      <w:start w:val="9"/>
    </w:lvl>
  </w:abstractNum>
  <w:abstractNum w:abstractNumId="119">
    <w:nsid w:val="71C1AF98"/>
    <w:multiLevelType w:val="hybridMultilevel"/>
    <w:lvl w:ilvl="0">
      <w:lvlJc w:val="left"/>
      <w:lvlText w:val="%1"/>
      <w:numFmt w:val="decimal"/>
      <w:start w:val="783"/>
    </w:lvl>
  </w:abstractNum>
  <w:abstractNum w:abstractNumId="120">
    <w:nsid w:val="3D00B9D9"/>
    <w:multiLevelType w:val="hybridMultilevel"/>
    <w:lvl w:ilvl="0">
      <w:lvlJc w:val="left"/>
      <w:lvlText w:val="(%1)"/>
      <w:numFmt w:val="decimal"/>
      <w:start w:val="3"/>
    </w:lvl>
  </w:abstractNum>
  <w:abstractNum w:abstractNumId="121">
    <w:nsid w:val="15BCABA8"/>
    <w:multiLevelType w:val="hybridMultilevel"/>
    <w:lvl w:ilvl="0">
      <w:lvlJc w:val="left"/>
      <w:lvlText w:val="(%1)"/>
      <w:numFmt w:val="lowerRoman"/>
      <w:start w:val="4"/>
    </w:lvl>
  </w:abstractNum>
  <w:abstractNum w:abstractNumId="122">
    <w:nsid w:val="4E0B9A87"/>
    <w:multiLevelType w:val="hybridMultilevel"/>
    <w:lvl w:ilvl="0">
      <w:lvlJc w:val="left"/>
      <w:lvlText w:val="(%1)"/>
      <w:numFmt w:val="lowerRoman"/>
      <w:start w:val="4"/>
    </w:lvl>
  </w:abstractNum>
  <w:abstractNum w:abstractNumId="123">
    <w:nsid w:val="434BAE75"/>
    <w:multiLevelType w:val="hybridMultilevel"/>
    <w:lvl w:ilvl="0">
      <w:lvlJc w:val="left"/>
      <w:lvlText w:val="•"/>
      <w:numFmt w:val="bullet"/>
      <w:start w:val="1"/>
    </w:lvl>
  </w:abstractNum>
  <w:abstractNum w:abstractNumId="124">
    <w:nsid w:val="4F38F265"/>
    <w:multiLevelType w:val="hybridMultilevel"/>
    <w:lvl w:ilvl="0">
      <w:lvlJc w:val="left"/>
      <w:lvlText w:val="•"/>
      <w:numFmt w:val="bullet"/>
      <w:start w:val="1"/>
    </w:lvl>
  </w:abstractNum>
  <w:abstractNum w:abstractNumId="125">
    <w:nsid w:val="4C502870"/>
    <w:multiLevelType w:val="hybridMultilevel"/>
    <w:lvl w:ilvl="0">
      <w:lvlJc w:val="left"/>
      <w:lvlText w:val="%1."/>
      <w:numFmt w:val="decimal"/>
      <w:start w:val="1"/>
    </w:lvl>
  </w:abstractNum>
  <w:abstractNum w:abstractNumId="126">
    <w:nsid w:val="1DE8725A"/>
    <w:multiLevelType w:val="hybridMultilevel"/>
    <w:lvl w:ilvl="0">
      <w:lvlJc w:val="left"/>
      <w:lvlText w:val="%1."/>
      <w:numFmt w:val="lowerLetter"/>
      <w:start w:val="1"/>
    </w:lvl>
  </w:abstractNum>
  <w:abstractNum w:abstractNumId="127">
    <w:nsid w:val="6A37288A"/>
    <w:multiLevelType w:val="hybridMultilevel"/>
    <w:lvl w:ilvl="0">
      <w:lvlJc w:val="left"/>
      <w:lvlText w:val="%1."/>
      <w:numFmt w:val="decimal"/>
      <w:start w:val="2"/>
    </w:lvl>
    <w:lvl w:ilvl="1">
      <w:lvlJc w:val="left"/>
      <w:lvlText w:val="%2."/>
      <w:numFmt w:val="lowerLetter"/>
      <w:start w:val="1"/>
    </w:lvl>
  </w:abstractNum>
  <w:abstractNum w:abstractNumId="128">
    <w:nsid w:val="8F8B73F"/>
    <w:multiLevelType w:val="hybridMultilevel"/>
    <w:lvl w:ilvl="0">
      <w:lvlJc w:val="left"/>
      <w:lvlText w:val="#"/>
      <w:numFmt w:val="bullet"/>
      <w:start w:val="1"/>
    </w:lvl>
  </w:abstractNum>
  <w:abstractNum w:abstractNumId="129">
    <w:nsid w:val="CA6B462"/>
    <w:multiLevelType w:val="hybridMultilevel"/>
    <w:lvl w:ilvl="0">
      <w:lvlJc w:val="left"/>
      <w:lvlText w:val="•"/>
      <w:numFmt w:val="bullet"/>
      <w:start w:val="1"/>
    </w:lvl>
  </w:abstractNum>
  <w:abstractNum w:abstractNumId="130">
    <w:nsid w:val="763CB680"/>
    <w:multiLevelType w:val="hybridMultilevel"/>
    <w:lvl w:ilvl="0">
      <w:lvlJc w:val="left"/>
      <w:lvlText w:val="*"/>
      <w:numFmt w:val="bullet"/>
      <w:start w:val="1"/>
    </w:lvl>
  </w:abstractNum>
  <w:abstractNum w:abstractNumId="131">
    <w:nsid w:val="15B71329"/>
    <w:multiLevelType w:val="hybridMultilevel"/>
    <w:lvl w:ilvl="0">
      <w:lvlJc w:val="left"/>
      <w:lvlText w:val="(%1)"/>
      <w:numFmt w:val="lowerLetter"/>
      <w:start w:val="2"/>
    </w:lvl>
  </w:abstractNum>
  <w:abstractNum w:abstractNumId="132">
    <w:nsid w:val="3DA97044"/>
    <w:multiLevelType w:val="hybridMultilevel"/>
    <w:lvl w:ilvl="0">
      <w:lvlJc w:val="left"/>
      <w:lvlText w:val="%1."/>
      <w:numFmt w:val="decimal"/>
      <w:start w:val="1"/>
    </w:lvl>
  </w:abstractNum>
  <w:abstractNum w:abstractNumId="133">
    <w:nsid w:val="1CDCE2DE"/>
    <w:multiLevelType w:val="hybridMultilevel"/>
    <w:lvl w:ilvl="0">
      <w:lvlJc w:val="left"/>
      <w:lvlText w:val="[●]"/>
      <w:numFmt w:val="bullet"/>
      <w:start w:val="1"/>
    </w:lvl>
  </w:abstractNum>
  <w:abstractNum w:abstractNumId="134">
    <w:nsid w:val="69D3947C"/>
    <w:multiLevelType w:val="hybridMultilevel"/>
    <w:lvl w:ilvl="0">
      <w:lvlJc w:val="left"/>
      <w:lvlText w:val="%1."/>
      <w:numFmt w:val="decimal"/>
      <w:start w:val="1"/>
    </w:lvl>
  </w:abstractNum>
  <w:abstractNum w:abstractNumId="135">
    <w:nsid w:val="2539DFA5"/>
    <w:multiLevelType w:val="hybridMultilevel"/>
    <w:lvl w:ilvl="0">
      <w:lvlJc w:val="left"/>
      <w:lvlText w:val="%1."/>
      <w:numFmt w:val="decimal"/>
      <w:start w:val="2"/>
    </w:lvl>
    <w:lvl w:ilvl="1">
      <w:lvlJc w:val="left"/>
      <w:lvlText w:val="(%2)"/>
      <w:numFmt w:val="lowerLetter"/>
      <w:start w:val="1"/>
    </w:lvl>
  </w:abstractNum>
  <w:abstractNum w:abstractNumId="136">
    <w:nsid w:val="2DB88089"/>
    <w:multiLevelType w:val="hybridMultilevel"/>
    <w:lvl w:ilvl="0">
      <w:lvlJc w:val="left"/>
      <w:lvlText w:val="(%1)"/>
      <w:numFmt w:val="lowerLetter"/>
      <w:start w:val="2"/>
    </w:lvl>
  </w:abstractNum>
  <w:abstractNum w:abstractNumId="137">
    <w:nsid w:val="706B674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8">
    <w:nsid w:val="2C106A5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9">
    <w:nsid w:val="684EED59"/>
    <w:multiLevelType w:val="hybridMultilevel"/>
    <w:lvl w:ilvl="0">
      <w:lvlJc w:val="left"/>
      <w:lvlText w:val="(%1)"/>
      <w:numFmt w:val="lowerLetter"/>
      <w:start w:val="3"/>
    </w:lvl>
  </w:abstractNum>
  <w:abstractNum w:abstractNumId="140">
    <w:nsid w:val="545EE5D3"/>
    <w:multiLevelType w:val="hybridMultilevel"/>
    <w:lvl w:ilvl="0">
      <w:lvlJc w:val="left"/>
      <w:lvlText w:val="(%1)"/>
      <w:numFmt w:val="lowerLetter"/>
      <w:start w:val="6"/>
    </w:lvl>
  </w:abstractNum>
  <w:abstractNum w:abstractNumId="141">
    <w:nsid w:val="4A66051"/>
    <w:multiLevelType w:val="hybridMultilevel"/>
    <w:lvl w:ilvl="0">
      <w:lvlJc w:val="left"/>
      <w:lvlText w:val="(%1)"/>
      <w:numFmt w:val="lowerLetter"/>
      <w:start w:val="7"/>
    </w:lvl>
  </w:abstractNum>
  <w:abstractNum w:abstractNumId="142">
    <w:nsid w:val="20F4BDAD"/>
    <w:multiLevelType w:val="hybridMultilevel"/>
    <w:lvl w:ilvl="0">
      <w:lvlJc w:val="left"/>
      <w:lvlText w:val="(%1)"/>
      <w:numFmt w:val="lowerLetter"/>
      <w:start w:val="9"/>
    </w:lvl>
  </w:abstractNum>
  <w:abstractNum w:abstractNumId="143">
    <w:nsid w:val="639DEFAC"/>
    <w:multiLevelType w:val="hybridMultilevel"/>
    <w:lvl w:ilvl="0">
      <w:lvlJc w:val="left"/>
      <w:lvlText w:val="(%1)"/>
      <w:numFmt w:val="lowerLetter"/>
      <w:start w:val="12"/>
    </w:lvl>
  </w:abstractNum>
  <w:abstractNum w:abstractNumId="144">
    <w:nsid w:val="501F9786"/>
    <w:multiLevelType w:val="hybridMultilevel"/>
    <w:lvl w:ilvl="0">
      <w:lvlJc w:val="left"/>
      <w:lvlText w:val="(%1)"/>
      <w:numFmt w:val="lowerLetter"/>
      <w:start w:val="17"/>
    </w:lvl>
  </w:abstractNum>
  <w:abstractNum w:abstractNumId="145">
    <w:nsid w:val="6B057295"/>
    <w:multiLevelType w:val="hybridMultilevel"/>
    <w:lvl w:ilvl="0">
      <w:lvlJc w:val="left"/>
      <w:lvlText w:val="(%1)"/>
      <w:numFmt w:val="lowerLetter"/>
      <w:start w:val="20"/>
    </w:lvl>
  </w:abstractNum>
  <w:abstractNum w:abstractNumId="146">
    <w:nsid w:val="2771AC80"/>
    <w:multiLevelType w:val="hybridMultilevel"/>
    <w:lvl w:ilvl="0">
      <w:lvlJc w:val="left"/>
      <w:lvlText w:val="(%1)"/>
      <w:numFmt w:val="lowerLetter"/>
      <w:start w:val="23"/>
    </w:lvl>
  </w:abstractNum>
  <w:abstractNum w:abstractNumId="147">
    <w:nsid w:val="1C4A08EC"/>
    <w:multiLevelType w:val="hybridMultilevel"/>
    <w:lvl w:ilvl="0">
      <w:lvlJc w:val="left"/>
      <w:lvlText w:val="(%1)"/>
      <w:numFmt w:val="lowerLetter"/>
      <w:start w:val="27"/>
    </w:lvl>
  </w:abstractNum>
  <w:abstractNum w:abstractNumId="148">
    <w:nsid w:val="1958BD17"/>
    <w:multiLevelType w:val="hybridMultilevel"/>
    <w:lvl w:ilvl="0">
      <w:lvlJc w:val="left"/>
      <w:lvlText w:val="(%1)"/>
      <w:numFmt w:val="lowerLetter"/>
      <w:start w:val="61"/>
    </w:lvl>
    <w:lvl w:ilvl="1">
      <w:lvlJc w:val="left"/>
      <w:lvlText w:val="(%2)"/>
      <w:numFmt w:val="lowerLetter"/>
      <w:start w:val="30"/>
    </w:lvl>
  </w:abstractNum>
  <w:abstractNum w:abstractNumId="149">
    <w:nsid w:val="4E647FE4"/>
    <w:multiLevelType w:val="hybridMultilevel"/>
    <w:lvl w:ilvl="0">
      <w:lvlJc w:val="left"/>
      <w:lvlText w:val="(%1)"/>
      <w:numFmt w:val="lowerLetter"/>
      <w:start w:val="31"/>
    </w:lvl>
  </w:abstractNum>
  <w:abstractNum w:abstractNumId="150">
    <w:nsid w:val="E0BB885"/>
    <w:multiLevelType w:val="hybridMultilevel"/>
    <w:lvl w:ilvl="0">
      <w:lvlJc w:val="left"/>
      <w:lvlText w:val="(%1)"/>
      <w:numFmt w:val="lowerLetter"/>
      <w:start w:val="34"/>
    </w:lvl>
  </w:abstractNum>
  <w:abstractNum w:abstractNumId="151">
    <w:nsid w:val="565976F1"/>
    <w:multiLevelType w:val="hybridMultilevel"/>
    <w:lvl w:ilvl="0">
      <w:lvlJc w:val="left"/>
      <w:lvlText w:val="(%1)"/>
      <w:numFmt w:val="lowerLetter"/>
      <w:start w:val="35"/>
    </w:lvl>
  </w:abstractNum>
  <w:abstractNum w:abstractNumId="152">
    <w:nsid w:val="64212B8C"/>
    <w:multiLevelType w:val="hybridMultilevel"/>
    <w:lvl w:ilvl="0">
      <w:lvlJc w:val="left"/>
      <w:lvlText w:val="(%1)"/>
      <w:numFmt w:val="lowerLetter"/>
      <w:start w:val="37"/>
    </w:lvl>
  </w:abstractNum>
  <w:abstractNum w:abstractNumId="153">
    <w:nsid w:val="5C17530C"/>
    <w:multiLevelType w:val="hybridMultilevel"/>
    <w:lvl w:ilvl="0">
      <w:lvlJc w:val="left"/>
      <w:lvlText w:val="(%1)"/>
      <w:numFmt w:val="lowerLetter"/>
      <w:start w:val="44"/>
    </w:lvl>
  </w:abstractNum>
  <w:abstractNum w:abstractNumId="154">
    <w:nsid w:val="19A52566"/>
    <w:multiLevelType w:val="hybridMultilevel"/>
    <w:lvl w:ilvl="0">
      <w:lvlJc w:val="left"/>
      <w:lvlText w:val="(%1)"/>
      <w:numFmt w:val="lowerLetter"/>
      <w:start w:val="47"/>
    </w:lvl>
  </w:abstractNum>
  <w:abstractNum w:abstractNumId="155">
    <w:nsid w:val="335A1DF1"/>
    <w:multiLevelType w:val="hybridMultilevel"/>
    <w:lvl w:ilvl="0">
      <w:lvlJc w:val="left"/>
      <w:lvlText w:val="%1"/>
      <w:numFmt w:val="decimal"/>
      <w:start w:val="1"/>
    </w:lvl>
    <w:lvl w:ilvl="1">
      <w:lvlJc w:val="left"/>
      <w:lvlText w:val="(%2)"/>
      <w:numFmt w:val="lowerLetter"/>
      <w:start w:val="48"/>
    </w:lvl>
  </w:abstractNum>
  <w:abstractNum w:abstractNumId="156">
    <w:nsid w:val="28677B7C"/>
    <w:multiLevelType w:val="hybridMultilevel"/>
    <w:lvl w:ilvl="0">
      <w:lvlJc w:val="left"/>
      <w:lvlText w:val="%1."/>
      <w:numFmt w:val="decimal"/>
      <w:start w:val="4"/>
    </w:lvl>
    <w:lvl w:ilvl="1">
      <w:lvlJc w:val="left"/>
      <w:lvlText w:val="(%2)"/>
      <w:numFmt w:val="lowerLetter"/>
      <w:start w:val="1"/>
    </w:lvl>
  </w:abstractNum>
  <w:abstractNum w:abstractNumId="157">
    <w:nsid w:val="378D97C0"/>
    <w:multiLevelType w:val="hybridMultilevel"/>
    <w:lvl w:ilvl="0">
      <w:lvlJc w:val="left"/>
      <w:lvlText w:val="(%1)"/>
      <w:numFmt w:val="lowerLetter"/>
      <w:start w:val="4"/>
    </w:lvl>
  </w:abstractNum>
  <w:abstractNum w:abstractNumId="158">
    <w:nsid w:val="1D91467C"/>
    <w:multiLevelType w:val="hybridMultilevel"/>
    <w:lvl w:ilvl="0">
      <w:lvlJc w:val="left"/>
      <w:lvlText w:val="(%1)"/>
      <w:numFmt w:val="lowerLetter"/>
      <w:start w:val="6"/>
    </w:lvl>
  </w:abstractNum>
  <w:abstractNum w:abstractNumId="159">
    <w:nsid w:val="316032BB"/>
    <w:multiLevelType w:val="hybridMultilevel"/>
    <w:lvl w:ilvl="0">
      <w:lvlJc w:val="left"/>
      <w:lvlText w:val="(%1)"/>
      <w:numFmt w:val="lowerRoman"/>
      <w:start w:val="2"/>
    </w:lvl>
  </w:abstractNum>
  <w:abstractNum w:abstractNumId="160">
    <w:nsid w:val="44344C22"/>
    <w:multiLevelType w:val="hybridMultilevel"/>
    <w:lvl w:ilvl="0">
      <w:lvlJc w:val="left"/>
      <w:lvlText w:val="%1"/>
      <w:numFmt w:val="decimal"/>
      <w:start w:val="1"/>
    </w:lvl>
    <w:lvl w:ilvl="1">
      <w:lvlJc w:val="left"/>
      <w:lvlText w:val="(%2)"/>
      <w:numFmt w:val="lowerLetter"/>
      <w:start w:val="9"/>
    </w:lvl>
  </w:abstractNum>
  <w:abstractNum w:abstractNumId="161">
    <w:nsid w:val="13CDFCFC"/>
    <w:multiLevelType w:val="hybridMultilevel"/>
    <w:lvl w:ilvl="0">
      <w:lvlJc w:val="left"/>
      <w:lvlText w:val="%1."/>
      <w:numFmt w:val="decimal"/>
      <w:start w:val="5"/>
    </w:lvl>
    <w:lvl w:ilvl="1">
      <w:lvlJc w:val="left"/>
      <w:lvlText w:val="(%2)"/>
      <w:numFmt w:val="lowerLetter"/>
      <w:start w:val="1"/>
    </w:lvl>
  </w:abstractNum>
  <w:abstractNum w:abstractNumId="162">
    <w:nsid w:val="471745E4"/>
    <w:multiLevelType w:val="hybridMultilevel"/>
    <w:lvl w:ilvl="0">
      <w:lvlJc w:val="left"/>
      <w:lvlText w:val="%1"/>
      <w:numFmt w:val="decimal"/>
      <w:start w:val="1"/>
    </w:lvl>
    <w:lvl w:ilvl="1">
      <w:lvlJc w:val="left"/>
      <w:lvlText w:val="(%2)"/>
      <w:numFmt w:val="lowerLetter"/>
      <w:start w:val="2"/>
    </w:lvl>
  </w:abstractNum>
  <w:abstractNum w:abstractNumId="163">
    <w:nsid w:val="1DDBC66"/>
    <w:multiLevelType w:val="hybridMultilevel"/>
    <w:lvl w:ilvl="0">
      <w:lvlJc w:val="left"/>
      <w:lvlText w:val="%1."/>
      <w:numFmt w:val="decimal"/>
      <w:start w:val="6"/>
    </w:lvl>
    <w:lvl w:ilvl="1">
      <w:lvlJc w:val="left"/>
      <w:lvlText w:val="(%2)"/>
      <w:numFmt w:val="lowerLetter"/>
      <w:start w:val="1"/>
    </w:lvl>
  </w:abstractNum>
  <w:abstractNum w:abstractNumId="164">
    <w:nsid w:val="30AADFDA"/>
    <w:multiLevelType w:val="hybridMultilevel"/>
    <w:lvl w:ilvl="0">
      <w:lvlJc w:val="left"/>
      <w:lvlText w:val="(%1)"/>
      <w:numFmt w:val="lowerLetter"/>
      <w:start w:val="4"/>
    </w:lvl>
  </w:abstractNum>
  <w:abstractNum w:abstractNumId="165">
    <w:nsid w:val="30EADA61"/>
    <w:multiLevelType w:val="hybridMultilevel"/>
    <w:lvl w:ilvl="0">
      <w:lvlJc w:val="left"/>
      <w:lvlText w:val="(%1)"/>
      <w:numFmt w:val="lowerLetter"/>
      <w:start w:val="6"/>
    </w:lvl>
  </w:abstractNum>
  <w:abstractNum w:abstractNumId="166">
    <w:nsid w:val="27179C0B"/>
    <w:multiLevelType w:val="hybridMultilevel"/>
    <w:lvl w:ilvl="0">
      <w:lvlJc w:val="left"/>
      <w:lvlText w:val="(%1)"/>
      <w:numFmt w:val="lowerLetter"/>
      <w:start w:val="8"/>
    </w:lvl>
  </w:abstractNum>
  <w:abstractNum w:abstractNumId="167">
    <w:nsid w:val="5E636063"/>
    <w:multiLevelType w:val="hybridMultilevel"/>
    <w:lvl w:ilvl="0">
      <w:lvlJc w:val="left"/>
      <w:lvlText w:val="%1."/>
      <w:numFmt w:val="decimal"/>
      <w:start w:val="7"/>
    </w:lvl>
    <w:lvl w:ilvl="1">
      <w:lvlJc w:val="left"/>
      <w:lvlText w:val="(%2)"/>
      <w:numFmt w:val="lowerLetter"/>
      <w:start w:val="1"/>
    </w:lvl>
  </w:abstractNum>
  <w:abstractNum w:abstractNumId="168">
    <w:nsid w:val="215641AF"/>
    <w:multiLevelType w:val="hybridMultilevel"/>
    <w:lvl w:ilvl="0">
      <w:lvlJc w:val="left"/>
      <w:lvlText w:val="%1"/>
      <w:numFmt w:val="lowerLetter"/>
      <w:start w:val="1"/>
    </w:lvl>
    <w:lvl w:ilvl="1">
      <w:lvlJc w:val="left"/>
      <w:lvlText w:val="(%2)"/>
      <w:numFmt w:val="lowerLetter"/>
      <w:start w:val="3"/>
    </w:lvl>
  </w:abstractNum>
  <w:abstractNum w:abstractNumId="169">
    <w:nsid w:val="53280662"/>
    <w:multiLevelType w:val="hybridMultilevel"/>
    <w:lvl w:ilvl="0">
      <w:lvlJc w:val="left"/>
      <w:lvlText w:val="(%1)"/>
      <w:numFmt w:val="lowerLetter"/>
      <w:start w:val="35"/>
    </w:lvl>
    <w:lvl w:ilvl="1">
      <w:lvlJc w:val="left"/>
      <w:lvlText w:val="%2"/>
      <w:numFmt w:val="lowerLetter"/>
      <w:start w:val="1"/>
    </w:lvl>
  </w:abstractNum>
  <w:abstractNum w:abstractNumId="170">
    <w:nsid w:val="46B24DBC"/>
    <w:multiLevelType w:val="hybridMultilevel"/>
    <w:lvl w:ilvl="0">
      <w:lvlJc w:val="left"/>
      <w:lvlText w:val="%1"/>
      <w:numFmt w:val="lowerLetter"/>
      <w:start w:val="1"/>
    </w:lvl>
    <w:lvl w:ilvl="1">
      <w:lvlJc w:val="left"/>
      <w:lvlText w:val="(%2)"/>
      <w:numFmt w:val="lowerLetter"/>
      <w:start w:val="4"/>
    </w:lvl>
  </w:abstractNum>
  <w:abstractNum w:abstractNumId="171">
    <w:nsid w:val="75B52783"/>
    <w:multiLevelType w:val="hybridMultilevel"/>
    <w:lvl w:ilvl="0">
      <w:lvlJc w:val="left"/>
      <w:lvlText w:val="(%1)"/>
      <w:numFmt w:val="lowerLetter"/>
      <w:start w:val="4"/>
    </w:lvl>
    <w:lvl w:ilvl="1">
      <w:lvlJc w:val="left"/>
      <w:lvlText w:val="%2"/>
      <w:numFmt w:val="lowerLetter"/>
      <w:start w:val="1"/>
    </w:lvl>
  </w:abstractNum>
  <w:abstractNum w:abstractNumId="172">
    <w:nsid w:val="57CE66B4"/>
    <w:multiLevelType w:val="hybridMultilevel"/>
    <w:lvl w:ilvl="0">
      <w:lvlJc w:val="left"/>
      <w:lvlText w:val="%1"/>
      <w:numFmt w:val="decimal"/>
      <w:start w:val="1"/>
    </w:lvl>
    <w:lvl w:ilvl="1">
      <w:lvlJc w:val="left"/>
      <w:lvlText w:val="(%2)"/>
      <w:numFmt w:val="lowerLetter"/>
      <w:start w:val="6"/>
    </w:lvl>
  </w:abstractNum>
  <w:abstractNum w:abstractNumId="173">
    <w:nsid w:val="67A70B69"/>
    <w:multiLevelType w:val="hybridMultilevel"/>
    <w:lvl w:ilvl="0">
      <w:lvlJc w:val="left"/>
      <w:lvlText w:val="%1."/>
      <w:numFmt w:val="decimal"/>
      <w:start w:val="8"/>
    </w:lvl>
    <w:lvl w:ilvl="1">
      <w:lvlJc w:val="left"/>
      <w:lvlText w:val="(%2)"/>
      <w:numFmt w:val="lowerLetter"/>
      <w:start w:val="1"/>
    </w:lvl>
  </w:abstractNum>
  <w:abstractNum w:abstractNumId="174">
    <w:nsid w:val="5953172F"/>
    <w:multiLevelType w:val="hybridMultilevel"/>
    <w:lvl w:ilvl="0">
      <w:lvlJc w:val="left"/>
      <w:lvlText w:val="%1"/>
      <w:numFmt w:val="decimal"/>
      <w:start w:val="1"/>
    </w:lvl>
    <w:lvl w:ilvl="1">
      <w:lvlJc w:val="left"/>
      <w:lvlText w:val="(%2)"/>
      <w:numFmt w:val="lowerLetter"/>
      <w:start w:val="2"/>
    </w:lvl>
  </w:abstractNum>
  <w:abstractNum w:abstractNumId="175">
    <w:nsid w:val="27EDFE3A"/>
    <w:multiLevelType w:val="hybridMultilevel"/>
    <w:lvl w:ilvl="0">
      <w:lvlJc w:val="left"/>
      <w:lvlText w:val="%1."/>
      <w:numFmt w:val="decimal"/>
      <w:start w:val="11"/>
    </w:lvl>
    <w:lvl w:ilvl="1">
      <w:lvlJc w:val="left"/>
      <w:lvlText w:val="(%2)"/>
      <w:numFmt w:val="lowerLetter"/>
      <w:start w:val="1"/>
    </w:lvl>
  </w:abstractNum>
  <w:abstractNum w:abstractNumId="176">
    <w:nsid w:val="52AC7D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7">
    <w:nsid w:val="C4C3AF"/>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1"/>
    </w:lvl>
  </w:abstractNum>
  <w:abstractNum w:abstractNumId="178">
    <w:nsid w:val="44380727"/>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lvl w:ilvl="3">
      <w:lvlJc w:val="left"/>
      <w:lvlText w:val="%4"/>
      <w:numFmt w:val="lowerLetter"/>
      <w:start w:val="1"/>
    </w:lvl>
  </w:abstractNum>
  <w:abstractNum w:abstractNumId="179">
    <w:nsid w:val="6C053B16"/>
    <w:multiLevelType w:val="hybridMultilevel"/>
    <w:lvl w:ilvl="0">
      <w:lvlJc w:val="left"/>
      <w:lvlText w:val="(%1)"/>
      <w:numFmt w:val="decimal"/>
      <w:start w:val="212"/>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80">
    <w:nsid w:val="4F294393"/>
    <w:multiLevelType w:val="hybridMultilevel"/>
    <w:lvl w:ilvl="0">
      <w:lvlJc w:val="left"/>
      <w:lvlText w:val="(%1)"/>
      <w:numFmt w:val="lowerRoman"/>
      <w:start w:val="2"/>
    </w:lvl>
  </w:abstractNum>
  <w:abstractNum w:abstractNumId="181">
    <w:nsid w:val="5243BFAC"/>
    <w:multiLevelType w:val="hybridMultilevel"/>
    <w:lvl w:ilvl="0">
      <w:lvlJc w:val="left"/>
      <w:lvlText w:val="(%1)"/>
      <w:numFmt w:val="lowerRoman"/>
      <w:start w:val="1"/>
    </w:lvl>
  </w:abstractNum>
  <w:abstractNum w:abstractNumId="182">
    <w:nsid w:val="425EB207"/>
    <w:multiLevelType w:val="hybridMultilevel"/>
    <w:lvl w:ilvl="0">
      <w:lvlJc w:val="left"/>
      <w:lvlText w:val="(%1)"/>
      <w:numFmt w:val="lowerLetter"/>
      <w:start w:val="8"/>
    </w:lvl>
  </w:abstractNum>
  <w:abstractNum w:abstractNumId="183">
    <w:nsid w:val="334A6F1F"/>
    <w:multiLevelType w:val="hybridMultilevel"/>
    <w:lvl w:ilvl="0">
      <w:lvlJc w:val="left"/>
      <w:lvlText w:val="(%1)"/>
      <w:numFmt w:val="lowerLetter"/>
      <w:start w:val="9"/>
    </w:lvl>
  </w:abstractNum>
  <w:abstractNum w:abstractNumId="184">
    <w:nsid w:val="2E5B12B8"/>
    <w:multiLevelType w:val="hybridMultilevel"/>
    <w:lvl w:ilvl="0">
      <w:lvlJc w:val="left"/>
      <w:lvlText w:val="%1."/>
      <w:numFmt w:val="lowerLetter"/>
      <w:start w:val="1"/>
    </w:lvl>
  </w:abstractNum>
  <w:abstractNum w:abstractNumId="185">
    <w:nsid w:val="5C03D76D"/>
    <w:multiLevelType w:val="hybridMultilevel"/>
    <w:lvl w:ilvl="0">
      <w:lvlJc w:val="left"/>
      <w:lvlText w:val="%1."/>
      <w:numFmt w:val="decimal"/>
      <w:start w:val="1"/>
    </w:lvl>
  </w:abstractNum>
  <w:abstractNum w:abstractNumId="186">
    <w:nsid w:val="66A48D11"/>
    <w:multiLevelType w:val="hybridMultilevel"/>
    <w:lvl w:ilvl="0">
      <w:lvlJc w:val="left"/>
      <w:lvlText w:val="%1."/>
      <w:numFmt w:val="decimal"/>
      <w:start w:val="2"/>
    </w:lvl>
  </w:abstractNum>
  <w:abstractNum w:abstractNumId="187">
    <w:nsid w:val="56C28E34"/>
    <w:multiLevelType w:val="hybridMultilevel"/>
    <w:lvl w:ilvl="0">
      <w:lvlJc w:val="left"/>
      <w:lvlText w:val="%1."/>
      <w:numFmt w:val="decimal"/>
      <w:start w:val="1"/>
    </w:lvl>
  </w:abstractNum>
  <w:abstractNum w:abstractNumId="188">
    <w:nsid w:val="13916F2D"/>
    <w:multiLevelType w:val="hybridMultilevel"/>
    <w:lvl w:ilvl="0">
      <w:lvlJc w:val="left"/>
      <w:lvlText w:val="(%1)"/>
      <w:numFmt w:val="upperLetter"/>
      <w:start w:val="1"/>
    </w:lvl>
  </w:abstractNum>
  <w:abstractNum w:abstractNumId="189">
    <w:nsid w:val="435D38D"/>
    <w:multiLevelType w:val="hybridMultilevel"/>
    <w:lvl w:ilvl="0">
      <w:lvlJc w:val="left"/>
      <w:lvlText w:val="(%1)"/>
      <w:numFmt w:val="lowerLetter"/>
      <w:start w:val="1"/>
    </w:lvl>
    <w:lvl w:ilvl="1">
      <w:lvlJc w:val="left"/>
      <w:lvlText w:val="(%2)"/>
      <w:numFmt w:val="upperLetter"/>
      <w:start w:val="2"/>
    </w:lvl>
  </w:abstractNum>
  <w:abstractNum w:abstractNumId="190">
    <w:nsid w:val="822C0EF"/>
    <w:multiLevelType w:val="hybridMultilevel"/>
    <w:lvl w:ilvl="0">
      <w:lvlJc w:val="left"/>
      <w:lvlText w:val="%1"/>
      <w:numFmt w:val="lowerRoman"/>
      <w:start w:val="1"/>
    </w:lvl>
    <w:lvl w:ilvl="1">
      <w:lvlJc w:val="left"/>
      <w:lvlText w:val="%2."/>
      <w:numFmt w:val="decimal"/>
      <w:start w:val="1"/>
    </w:lvl>
  </w:abstractNum>
  <w:abstractNum w:abstractNumId="191">
    <w:nsid w:val="57C5BB4F"/>
    <w:multiLevelType w:val="hybridMultilevel"/>
    <w:lvl w:ilvl="0">
      <w:lvlJc w:val="left"/>
      <w:lvlText w:val="(%1)"/>
      <w:numFmt w:val="lowerRoman"/>
      <w:start w:val="2"/>
    </w:lvl>
    <w:lvl w:ilvl="1">
      <w:lvlJc w:val="left"/>
      <w:lvlText w:val="%2."/>
      <w:numFmt w:val="decimal"/>
      <w:start w:val="3"/>
    </w:lvl>
  </w:abstractNum>
  <w:abstractNum w:abstractNumId="192">
    <w:nsid w:val="1803D089"/>
    <w:multiLevelType w:val="hybridMultilevel"/>
    <w:lvl w:ilvl="0">
      <w:lvlJc w:val="left"/>
      <w:lvlText w:val="%1."/>
      <w:numFmt w:val="decimal"/>
      <w:start w:val="1"/>
    </w:lvl>
  </w:abstractNum>
  <w:abstractNum w:abstractNumId="193">
    <w:nsid w:val="4F3A06D4"/>
    <w:multiLevelType w:val="hybridMultilevel"/>
    <w:lvl w:ilvl="0">
      <w:lvlJc w:val="left"/>
      <w:lvlText w:val="%1."/>
      <w:numFmt w:val="decimal"/>
      <w:start w:val="2"/>
    </w:lvl>
  </w:abstractNum>
  <w:abstractNum w:abstractNumId="194">
    <w:nsid w:val="59A377B6"/>
    <w:multiLevelType w:val="hybridMultilevel"/>
    <w:lvl w:ilvl="0">
      <w:lvlJc w:val="left"/>
      <w:lvlText w:val="%1."/>
      <w:numFmt w:val="decimal"/>
      <w:start w:val="4"/>
    </w:lvl>
  </w:abstractNum>
  <w:abstractNum w:abstractNumId="195">
    <w:nsid w:val="48AEB063"/>
    <w:multiLevelType w:val="hybridMultilevel"/>
    <w:lvl w:ilvl="0">
      <w:lvlJc w:val="left"/>
      <w:lvlText w:val="%1."/>
      <w:numFmt w:val="decimal"/>
      <w:start w:val="1"/>
    </w:lvl>
  </w:abstractNum>
  <w:abstractNum w:abstractNumId="196">
    <w:nsid w:val="24E135"/>
    <w:multiLevelType w:val="hybridMultilevel"/>
    <w:lvl w:ilvl="0">
      <w:lvlJc w:val="left"/>
      <w:lvlText w:val="(%1)"/>
      <w:numFmt w:val="lowerLetter"/>
      <w:start w:val="1"/>
    </w:lvl>
    <w:lvl w:ilvl="1">
      <w:lvlJc w:val="left"/>
      <w:lvlText w:val="(%2)"/>
      <w:numFmt w:val="decimal"/>
      <w:start w:val="1"/>
    </w:lvl>
  </w:abstractNum>
  <w:abstractNum w:abstractNumId="197">
    <w:nsid w:val="BB13C1"/>
    <w:multiLevelType w:val="hybridMultilevel"/>
    <w:lvl w:ilvl="0">
      <w:lvlJc w:val="left"/>
      <w:lvlText w:val="(%1)"/>
      <w:numFmt w:val="decimal"/>
      <w:start w:val="2"/>
    </w:lvl>
    <w:lvl w:ilvl="1">
      <w:lvlJc w:val="left"/>
      <w:lvlText w:val="(%2)"/>
      <w:numFmt w:val="upperLetter"/>
      <w:start w:val="1"/>
    </w:lvl>
  </w:abstractNum>
  <w:abstractNum w:abstractNumId="198">
    <w:nsid w:val="271210C7"/>
    <w:multiLevelType w:val="hybridMultilevel"/>
    <w:lvl w:ilvl="0">
      <w:lvlJc w:val="left"/>
      <w:lvlText w:val="(%1)"/>
      <w:numFmt w:val="upperLetter"/>
      <w:start w:val="4"/>
    </w:lvl>
  </w:abstractNum>
  <w:abstractNum w:abstractNumId="199">
    <w:nsid w:val="217B22E4"/>
    <w:multiLevelType w:val="hybridMultilevel"/>
    <w:lvl w:ilvl="0">
      <w:lvlJc w:val="left"/>
      <w:lvlText w:val="(%1)"/>
      <w:numFmt w:val="decimal"/>
      <w:start w:val="3"/>
    </w:lvl>
  </w:abstractNum>
  <w:abstractNum w:abstractNumId="200">
    <w:nsid w:val="53E31A24"/>
    <w:multiLevelType w:val="hybridMultilevel"/>
    <w:lvl w:ilvl="0">
      <w:lvlJc w:val="left"/>
      <w:lvlText w:val="%1"/>
      <w:numFmt w:val="lowerLetter"/>
      <w:start w:val="1"/>
    </w:lvl>
    <w:lvl w:ilvl="1">
      <w:lvlJc w:val="left"/>
      <w:lvlText w:val="(%2)"/>
      <w:numFmt w:val="decimal"/>
      <w:start w:val="4"/>
    </w:lvl>
  </w:abstractNum>
  <w:abstractNum w:abstractNumId="201">
    <w:nsid w:val="6DC45E83"/>
    <w:multiLevelType w:val="hybridMultilevel"/>
    <w:lvl w:ilvl="0">
      <w:lvlJc w:val="left"/>
      <w:lvlText w:val="(%1)"/>
      <w:numFmt w:val="lowerLetter"/>
      <w:start w:val="2"/>
    </w:lvl>
    <w:lvl w:ilvl="1">
      <w:lvlJc w:val="left"/>
      <w:lvlText w:val="(%2)"/>
      <w:numFmt w:val="decimal"/>
      <w:start w:val="1"/>
    </w:lvl>
  </w:abstractNum>
  <w:abstractNum w:abstractNumId="202">
    <w:nsid w:val="17304A67"/>
    <w:multiLevelType w:val="hybridMultilevel"/>
    <w:lvl w:ilvl="0">
      <w:lvlJc w:val="left"/>
      <w:lvlText w:val="(%1)"/>
      <w:numFmt w:val="decimal"/>
      <w:start w:val="2"/>
    </w:lvl>
  </w:abstractNum>
  <w:abstractNum w:abstractNumId="203">
    <w:nsid w:val="2BB180D8"/>
    <w:multiLevelType w:val="hybridMultilevel"/>
    <w:lvl w:ilvl="0">
      <w:lvlJc w:val="left"/>
      <w:lvlText w:val="(%1)"/>
      <w:numFmt w:val="lowerLetter"/>
      <w:start w:val="1"/>
    </w:lvl>
  </w:abstractNum>
  <w:abstractNum w:abstractNumId="204">
    <w:nsid w:val="556B69ED"/>
    <w:multiLevelType w:val="hybridMultilevel"/>
    <w:lvl w:ilvl="0">
      <w:lvlJc w:val="left"/>
      <w:lvlText w:val="(%1)"/>
      <w:numFmt w:val="lowerLetter"/>
      <w:start w:val="1"/>
    </w:lvl>
  </w:abstractNum>
  <w:abstractNum w:abstractNumId="205">
    <w:nsid w:val="70836196"/>
    <w:multiLevelType w:val="hybridMultilevel"/>
    <w:lvl w:ilvl="0">
      <w:lvlJc w:val="left"/>
      <w:lvlText w:val="(%1)"/>
      <w:numFmt w:val="lowerLetter"/>
      <w:start w:val="2"/>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decimal"/>
      <w:start w:val="1"/>
    </w:lvl>
  </w:abstractNum>
  <w:abstractNum w:abstractNumId="208">
    <w:nsid w:val="71482545"/>
    <w:multiLevelType w:val="hybridMultilevel"/>
    <w:lvl w:ilvl="0">
      <w:lvlJc w:val="left"/>
      <w:lvlText w:val="(%1)"/>
      <w:numFmt w:val="lowerLetter"/>
      <w:start w:val="1"/>
    </w:lvl>
  </w:abstractNum>
  <w:abstractNum w:abstractNumId="209">
    <w:nsid w:val="17D78639"/>
    <w:multiLevelType w:val="hybridMultilevel"/>
    <w:lvl w:ilvl="0">
      <w:lvlJc w:val="left"/>
      <w:lvlText w:val="(%1)"/>
      <w:numFmt w:val="lowerLetter"/>
      <w:start w:val="3"/>
    </w:lvl>
  </w:abstractNum>
  <w:abstractNum w:abstractNumId="210">
    <w:nsid w:val="141D2302"/>
    <w:multiLevelType w:val="hybridMultilevel"/>
    <w:lvl w:ilvl="0">
      <w:lvlJc w:val="left"/>
      <w:lvlText w:val="(%1)"/>
      <w:numFmt w:val="lowerLetter"/>
      <w:start w:val="1"/>
    </w:lvl>
  </w:abstractNum>
  <w:abstractNum w:abstractNumId="211">
    <w:nsid w:val="407168D8"/>
    <w:multiLevelType w:val="hybridMultilevel"/>
    <w:lvl w:ilvl="0">
      <w:lvlJc w:val="left"/>
      <w:lvlText w:val="(%1)"/>
      <w:numFmt w:val="lowerLetter"/>
      <w:start w:val="1"/>
    </w:lvl>
  </w:abstractNum>
  <w:abstractNum w:abstractNumId="212">
    <w:nsid w:val="6A1B45E5"/>
    <w:multiLevelType w:val="hybridMultilevel"/>
    <w:lvl w:ilvl="0">
      <w:lvlJc w:val="left"/>
      <w:lvlText w:val="(%1)"/>
      <w:numFmt w:val="lowerLetter"/>
      <w:start w:val="2"/>
    </w:lvl>
  </w:abstractNum>
  <w:abstractNum w:abstractNumId="213">
    <w:nsid w:val="567BD50A"/>
    <w:multiLevelType w:val="hybridMultilevel"/>
    <w:lvl w:ilvl="0">
      <w:lvlJc w:val="left"/>
      <w:lvlText w:val="(%1)"/>
      <w:numFmt w:val="lowerLetter"/>
      <w:start w:val="1"/>
    </w:lvl>
  </w:abstractNum>
  <w:abstractNum w:abstractNumId="214">
    <w:nsid w:val="73BBD7F8"/>
    <w:multiLevelType w:val="hybridMultilevel"/>
    <w:lvl w:ilvl="0">
      <w:lvlJc w:val="left"/>
      <w:lvlText w:val="%1"/>
      <w:numFmt w:val="upperLetter"/>
      <w:start w:val="1"/>
    </w:lvl>
    <w:lvl w:ilvl="1">
      <w:lvlJc w:val="left"/>
      <w:lvlText w:val="(%2)"/>
      <w:numFmt w:val="lowerLetter"/>
      <w:start w:val="1"/>
    </w:lvl>
  </w:abstractNum>
  <w:abstractNum w:abstractNumId="215">
    <w:nsid w:val="1876589D"/>
    <w:multiLevelType w:val="hybridMultilevel"/>
    <w:lvl w:ilvl="0">
      <w:lvlJc w:val="left"/>
      <w:lvlText w:val="(%1)"/>
      <w:numFmt w:val="upperLetter"/>
      <w:start w:val="3"/>
    </w:lvl>
    <w:lvl w:ilvl="1">
      <w:lvlJc w:val="left"/>
      <w:lvlText w:val="%2"/>
      <w:numFmt w:val="lowerLetter"/>
      <w:start w:val="1"/>
    </w:lvl>
  </w:abstractNum>
  <w:abstractNum w:abstractNumId="216">
    <w:nsid w:val="327FAC77"/>
    <w:multiLevelType w:val="hybridMultilevel"/>
    <w:lvl w:ilvl="0">
      <w:lvlJc w:val="left"/>
      <w:lvlText w:val="%1"/>
      <w:numFmt w:val="decimal"/>
      <w:start w:val="1"/>
    </w:lvl>
    <w:lvl w:ilvl="1">
      <w:lvlJc w:val="left"/>
      <w:lvlText w:val="(%2)"/>
      <w:numFmt w:val="lowerLetter"/>
      <w:start w:val="1"/>
    </w:lvl>
  </w:abstractNum>
  <w:abstractNum w:abstractNumId="217">
    <w:nsid w:val="5A606509"/>
    <w:multiLevelType w:val="hybridMultilevel"/>
    <w:lvl w:ilvl="0">
      <w:lvlJc w:val="left"/>
      <w:lvlText w:val="(%1)"/>
      <w:numFmt w:val="decimal"/>
      <w:start w:val="10"/>
    </w:lvl>
    <w:lvl w:ilvl="1">
      <w:lvlJc w:val="left"/>
      <w:lvlText w:val="%2"/>
      <w:numFmt w:val="lowerLetter"/>
      <w:start w:val="1"/>
    </w:lvl>
  </w:abstractNum>
  <w:abstractNum w:abstractNumId="218">
    <w:nsid w:val="6F38E6D1"/>
    <w:multiLevelType w:val="hybridMultilevel"/>
    <w:lvl w:ilvl="0">
      <w:lvlJc w:val="left"/>
      <w:lvlText w:val="%1"/>
      <w:numFmt w:val="lowerRoman"/>
      <w:start w:val="1"/>
    </w:lvl>
    <w:lvl w:ilvl="1">
      <w:lvlJc w:val="left"/>
      <w:lvlText w:val="(%2)"/>
      <w:numFmt w:val="lowerLetter"/>
      <w:start w:val="8"/>
    </w:lvl>
  </w:abstractNum>
  <w:abstractNum w:abstractNumId="219">
    <w:nsid w:val="46111BA5"/>
    <w:multiLevelType w:val="hybridMultilevel"/>
    <w:lvl w:ilvl="0">
      <w:lvlJc w:val="left"/>
      <w:lvlText w:val="(%1)"/>
      <w:numFmt w:val="lowerRoman"/>
      <w:start w:val="6"/>
    </w:lvl>
    <w:lvl w:ilvl="1">
      <w:lvlJc w:val="left"/>
      <w:lvlText w:val="%2"/>
      <w:numFmt w:val="lowerLetter"/>
      <w:start w:val="1"/>
    </w:lvl>
  </w:abstractNum>
  <w:abstractNum w:abstractNumId="220">
    <w:nsid w:val="5E963896"/>
    <w:multiLevelType w:val="hybridMultilevel"/>
    <w:lvl w:ilvl="0">
      <w:lvlJc w:val="left"/>
      <w:lvlText w:val="(%1)"/>
      <w:numFmt w:val="lowerLetter"/>
      <w:start w:val="9"/>
    </w:lvl>
  </w:abstractNum>
  <w:abstractNum w:abstractNumId="221">
    <w:nsid w:val="775BA7C1"/>
    <w:multiLevelType w:val="hybridMultilevel"/>
    <w:lvl w:ilvl="0">
      <w:lvlJc w:val="left"/>
      <w:lvlText w:val="(%1)"/>
      <w:numFmt w:val="lowerLetter"/>
      <w:start w:val="13"/>
    </w:lvl>
  </w:abstractNum>
  <w:abstractNum w:abstractNumId="222">
    <w:nsid w:val="1DD6D6F4"/>
    <w:multiLevelType w:val="hybridMultilevel"/>
    <w:lvl w:ilvl="0">
      <w:lvlJc w:val="left"/>
      <w:lvlText w:val="(%1)"/>
      <w:numFmt w:val="lowerLetter"/>
      <w:start w:val="24"/>
    </w:lvl>
  </w:abstractNum>
  <w:abstractNum w:abstractNumId="223">
    <w:nsid w:val="769A091F"/>
    <w:multiLevelType w:val="hybridMultilevel"/>
    <w:lvl w:ilvl="0">
      <w:lvlJc w:val="left"/>
      <w:lvlText w:val="(%1)"/>
      <w:numFmt w:val="lowerLetter"/>
      <w:start w:val="27"/>
    </w:lvl>
  </w:abstractNum>
  <w:abstractNum w:abstractNumId="224">
    <w:nsid w:val="4695AE95"/>
    <w:multiLevelType w:val="hybridMultilevel"/>
    <w:lvl w:ilvl="0">
      <w:lvlJc w:val="left"/>
      <w:lvlText w:val="(%1)"/>
      <w:numFmt w:val="lowerLetter"/>
      <w:start w:val="1"/>
    </w:lvl>
  </w:abstractNum>
  <w:abstractNum w:abstractNumId="225">
    <w:nsid w:val="777A4EAA"/>
    <w:multiLevelType w:val="hybridMultilevel"/>
    <w:lvl w:ilvl="0">
      <w:lvlJc w:val="left"/>
      <w:lvlText w:val="(%1)"/>
      <w:numFmt w:val="lowerLetter"/>
      <w:start w:val="1"/>
    </w:lvl>
  </w:abstractNum>
  <w:abstractNum w:abstractNumId="226">
    <w:nsid w:val="3F48B982"/>
    <w:multiLevelType w:val="hybridMultilevel"/>
    <w:lvl w:ilvl="0">
      <w:lvlJc w:val="left"/>
      <w:lvlText w:val="(%1)"/>
      <w:numFmt w:val="lowerLetter"/>
      <w:start w:val="5"/>
    </w:lvl>
    <w:lvl w:ilvl="1">
      <w:lvlJc w:val="left"/>
      <w:lvlText w:val="(%2)"/>
      <w:numFmt w:val="lowerRoman"/>
      <w:start w:val="1"/>
    </w:lvl>
  </w:abstractNum>
  <w:abstractNum w:abstractNumId="227">
    <w:nsid w:val="46BA8FCA"/>
    <w:multiLevelType w:val="hybridMultilevel"/>
    <w:lvl w:ilvl="0">
      <w:lvlJc w:val="left"/>
      <w:lvlText w:val="(%1)"/>
      <w:numFmt w:val="lowerRoman"/>
      <w:start w:val="7"/>
    </w:lvl>
  </w:abstractNum>
  <w:abstractNum w:abstractNumId="228">
    <w:nsid w:val="7835626C"/>
    <w:multiLevelType w:val="hybridMultilevel"/>
    <w:lvl w:ilvl="0">
      <w:lvlJc w:val="left"/>
      <w:lvlText w:val="(%1)"/>
      <w:numFmt w:val="lowerLetter"/>
      <w:start w:val="7"/>
    </w:lvl>
  </w:abstractNum>
  <w:abstractNum w:abstractNumId="229">
    <w:nsid w:val="665ACA49"/>
    <w:multiLevelType w:val="hybridMultilevel"/>
    <w:lvl w:ilvl="0">
      <w:lvlJc w:val="left"/>
      <w:lvlText w:val="(%1)"/>
      <w:numFmt w:val="lowerLetter"/>
      <w:start w:val="1"/>
    </w:lvl>
  </w:abstractNum>
  <w:abstractNum w:abstractNumId="230">
    <w:nsid w:val="6835B2AE"/>
    <w:multiLevelType w:val="hybridMultilevel"/>
    <w:lvl w:ilvl="0">
      <w:lvlJc w:val="left"/>
      <w:lvlText w:val="(%1)"/>
      <w:numFmt w:val="lowerLetter"/>
      <w:start w:val="5"/>
    </w:lvl>
  </w:abstractNum>
  <w:abstractNum w:abstractNumId="231">
    <w:nsid w:val="4C187C90"/>
    <w:multiLevelType w:val="hybridMultilevel"/>
    <w:lvl w:ilvl="0">
      <w:lvlJc w:val="left"/>
      <w:lvlText w:val="%1"/>
      <w:numFmt w:val="lowerLetter"/>
      <w:start w:val="1"/>
    </w:lvl>
    <w:lvl w:ilvl="1">
      <w:lvlJc w:val="left"/>
      <w:lvlText w:val="(%2)"/>
      <w:numFmt w:val="lowerLetter"/>
      <w:start w:val="1"/>
    </w:lvl>
  </w:abstractNum>
  <w:abstractNum w:abstractNumId="232">
    <w:nsid w:val="541F28CD"/>
    <w:multiLevelType w:val="hybridMultilevel"/>
    <w:lvl w:ilvl="0">
      <w:lvlJc w:val="left"/>
      <w:lvlText w:val="(%1)"/>
      <w:numFmt w:val="lowerLetter"/>
      <w:start w:val="35"/>
    </w:lvl>
    <w:lvl w:ilvl="1">
      <w:lvlJc w:val="left"/>
      <w:lvlText w:val="(%2)"/>
      <w:numFmt w:val="lowerLetter"/>
      <w:start w:val="4"/>
    </w:lvl>
  </w:abstractNum>
  <w:abstractNum w:abstractNumId="233">
    <w:nsid w:val="7F65FD16"/>
    <w:multiLevelType w:val="hybridMultilevel"/>
    <w:lvl w:ilvl="0">
      <w:lvlJc w:val="left"/>
      <w:lvlText w:val="(%1)"/>
      <w:numFmt w:val="lowerLetter"/>
      <w:start w:val="1"/>
    </w:lvl>
    <w:lvl w:ilvl="1">
      <w:lvlJc w:val="left"/>
      <w:lvlText w:val="(%2)"/>
      <w:numFmt w:val="lowerRoman"/>
      <w:start w:val="1"/>
    </w:lvl>
  </w:abstractNum>
  <w:abstractNum w:abstractNumId="234">
    <w:nsid w:val="77C9FD68"/>
    <w:multiLevelType w:val="hybridMultilevel"/>
    <w:lvl w:ilvl="0">
      <w:lvlJc w:val="left"/>
      <w:lvlText w:val="(%1)"/>
      <w:numFmt w:val="lowerRoman"/>
      <w:start w:val="3"/>
    </w:lvl>
  </w:abstractNum>
  <w:abstractNum w:abstractNumId="235">
    <w:nsid w:val="298A92BA"/>
    <w:multiLevelType w:val="hybridMultilevel"/>
    <w:lvl w:ilvl="0">
      <w:lvlJc w:val="left"/>
      <w:lvlText w:val="(%1)"/>
      <w:numFmt w:val="lowerRoman"/>
      <w:start w:val="1"/>
    </w:lvl>
  </w:abstractNum>
  <w:abstractNum w:abstractNumId="236">
    <w:nsid w:val="6FE95EAC"/>
    <w:multiLevelType w:val="hybridMultilevel"/>
    <w:lvl w:ilvl="0">
      <w:lvlJc w:val="left"/>
      <w:lvlText w:val="(%1)"/>
      <w:numFmt w:val="lowerLetter"/>
      <w:start w:val="1"/>
    </w:lvl>
  </w:abstractNum>
  <w:abstractNum w:abstractNumId="237">
    <w:nsid w:val="4B697C7A"/>
    <w:multiLevelType w:val="hybridMultilevel"/>
    <w:lvl w:ilvl="0">
      <w:lvlJc w:val="left"/>
      <w:lvlText w:val="(%1)"/>
      <w:numFmt w:val="lowerLetter"/>
      <w:start w:val="1"/>
    </w:lvl>
  </w:abstractNum>
  <w:abstractNum w:abstractNumId="238">
    <w:nsid w:val="51A27AA6"/>
    <w:multiLevelType w:val="hybridMultilevel"/>
    <w:lvl w:ilvl="0">
      <w:lvlJc w:val="left"/>
      <w:lvlText w:val="(%1)"/>
      <w:numFmt w:val="lowerLetter"/>
      <w:start w:val="2"/>
    </w:lvl>
  </w:abstractNum>
  <w:abstractNum w:abstractNumId="239">
    <w:nsid w:val="613183F2"/>
    <w:multiLevelType w:val="hybridMultilevel"/>
    <w:lvl w:ilvl="0">
      <w:lvlJc w:val="left"/>
      <w:lvlText w:val="(%1)"/>
      <w:numFmt w:val="lowerLetter"/>
      <w:start w:val="1"/>
    </w:lvl>
  </w:abstractNum>
  <w:abstractNum w:abstractNumId="240">
    <w:nsid w:val="634102B4"/>
    <w:multiLevelType w:val="hybridMultilevel"/>
    <w:lvl w:ilvl="0">
      <w:lvlJc w:val="left"/>
      <w:lvlText w:val="%1."/>
      <w:numFmt w:val="decimal"/>
      <w:start w:val="1"/>
    </w:lvl>
  </w:abstractNum>
  <w:abstractNum w:abstractNumId="241">
    <w:nsid w:val="65BF9DA8"/>
    <w:multiLevelType w:val="hybridMultilevel"/>
    <w:lvl w:ilvl="0">
      <w:lvlJc w:val="left"/>
      <w:lvlText w:val="%1."/>
      <w:numFmt w:val="decimal"/>
      <w:start w:val="3"/>
    </w:lvl>
  </w:abstractNum>
  <w:abstractNum w:abstractNumId="242">
    <w:nsid w:val="21A2ECCA"/>
    <w:multiLevelType w:val="hybridMultilevel"/>
    <w:lvl w:ilvl="0">
      <w:lvlJc w:val="left"/>
      <w:lvlText w:val="%1."/>
      <w:numFmt w:val="decimal"/>
      <w:start w:val="4"/>
    </w:lvl>
  </w:abstractNum>
  <w:abstractNum w:abstractNumId="243">
    <w:nsid w:val="4D5C4899"/>
    <w:multiLevelType w:val="hybridMultilevel"/>
    <w:lvl w:ilvl="0">
      <w:lvlJc w:val="left"/>
      <w:lvlText w:val="%1."/>
      <w:numFmt w:val="decimal"/>
      <w:start w:val="5"/>
    </w:lvl>
  </w:abstractNum>
  <w:abstractNum w:abstractNumId="244">
    <w:nsid w:val="3C3B72B2"/>
    <w:multiLevelType w:val="hybridMultilevel"/>
    <w:lvl w:ilvl="0">
      <w:lvlJc w:val="left"/>
      <w:lvlText w:val="(%1)"/>
      <w:numFmt w:val="lowerRoman"/>
      <w:start w:val="1"/>
    </w:lvl>
  </w:abstractNum>
  <w:abstractNum w:abstractNumId="245">
    <w:nsid w:val="155EC4C2"/>
    <w:multiLevelType w:val="hybridMultilevel"/>
    <w:lvl w:ilvl="0">
      <w:lvlJc w:val="left"/>
      <w:lvlText w:val="%1."/>
      <w:numFmt w:val="decimal"/>
      <w:start w:val="7"/>
    </w:lvl>
  </w:abstractNum>
  <w:abstractNum w:abstractNumId="246">
    <w:nsid w:val="65D2A137"/>
    <w:multiLevelType w:val="hybridMultilevel"/>
    <w:lvl w:ilvl="0">
      <w:lvlJc w:val="left"/>
      <w:lvlText w:val="%1."/>
      <w:numFmt w:val="decimal"/>
      <w:start w:val="11"/>
    </w:lvl>
  </w:abstractNum>
  <w:abstractNum w:abstractNumId="247">
    <w:nsid w:val="6EBB1F2A"/>
    <w:multiLevelType w:val="hybridMultilevel"/>
    <w:lvl w:ilvl="0">
      <w:lvlJc w:val="left"/>
      <w:lvlText w:val="%1."/>
      <w:numFmt w:val="decimal"/>
      <w:start w:val="14"/>
    </w:lvl>
  </w:abstractNum>
  <w:abstractNum w:abstractNumId="248">
    <w:nsid w:val="6FBF29CB"/>
    <w:multiLevelType w:val="hybridMultilevel"/>
    <w:lvl w:ilvl="0">
      <w:lvlJc w:val="left"/>
      <w:lvlText w:val="%1."/>
      <w:numFmt w:val="decimal"/>
      <w:start w:val="19"/>
    </w:lvl>
  </w:abstractNum>
  <w:abstractNum w:abstractNumId="249">
    <w:nsid w:val="550B8808"/>
    <w:multiLevelType w:val="hybridMultilevel"/>
    <w:lvl w:ilvl="0">
      <w:lvlJc w:val="left"/>
      <w:lvlText w:val="%1."/>
      <w:numFmt w:val="decimal"/>
      <w:start w:val="1"/>
    </w:lvl>
  </w:abstractNum>
  <w:abstractNum w:abstractNumId="250">
    <w:nsid w:val="34CC3ACF"/>
    <w:multiLevelType w:val="hybridMultilevel"/>
    <w:lvl w:ilvl="0">
      <w:lvlJc w:val="left"/>
      <w:lvlText w:val="%1."/>
      <w:numFmt w:val="decimal"/>
      <w:start w:val="4"/>
    </w:lvl>
    <w:lvl w:ilvl="1">
      <w:lvlJc w:val="left"/>
      <w:lvlText w:val="(%2)"/>
      <w:numFmt w:val="lowerLetter"/>
      <w:start w:val="1"/>
    </w:lvl>
  </w:abstractNum>
  <w:abstractNum w:abstractNumId="251">
    <w:nsid w:val="4E5562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2">
    <w:nsid w:val="4C672FC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3">
    <w:nsid w:val="52A311C3"/>
    <w:multiLevelType w:val="hybridMultilevel"/>
    <w:lvl w:ilvl="0">
      <w:lvlJc w:val="left"/>
      <w:lvlText w:val="(%1)"/>
      <w:numFmt w:val="lowerRoman"/>
      <w:start w:val="4"/>
    </w:lvl>
  </w:abstractNum>
  <w:abstractNum w:abstractNumId="254">
    <w:nsid w:val="44EF6B80"/>
    <w:multiLevelType w:val="hybridMultilevel"/>
    <w:lvl w:ilvl="0">
      <w:lvlJc w:val="left"/>
      <w:lvlText w:val="(%1)"/>
      <w:numFmt w:val="lowerLetter"/>
      <w:start w:val="2"/>
    </w:lvl>
  </w:abstractNum>
  <w:abstractNum w:abstractNumId="255">
    <w:nsid w:val="12FCDE5E"/>
    <w:multiLevelType w:val="hybridMultilevel"/>
    <w:lvl w:ilvl="0">
      <w:lvlJc w:val="left"/>
      <w:lvlText w:val="%1."/>
      <w:numFmt w:val="decimal"/>
      <w:start w:val="10"/>
    </w:lvl>
    <w:lvl w:ilvl="1">
      <w:lvlJc w:val="left"/>
      <w:lvlText w:val="(%2)"/>
      <w:numFmt w:val="lowerLetter"/>
      <w:start w:val="1"/>
    </w:lvl>
  </w:abstractNum>
  <w:abstractNum w:abstractNumId="256">
    <w:nsid w:val="4A1D606E"/>
    <w:multiLevelType w:val="hybridMultilevel"/>
    <w:lvl w:ilvl="0">
      <w:lvlJc w:val="left"/>
      <w:lvlText w:val="%1."/>
      <w:numFmt w:val="decimal"/>
      <w:start w:val="12"/>
    </w:lvl>
    <w:lvl w:ilvl="1">
      <w:lvlJc w:val="left"/>
      <w:lvlText w:val="(%2)"/>
      <w:numFmt w:val="lowerLetter"/>
      <w:start w:val="1"/>
    </w:lvl>
  </w:abstractNum>
  <w:abstractNum w:abstractNumId="257">
    <w:nsid w:val="4382503"/>
    <w:multiLevelType w:val="hybridMultilevel"/>
    <w:lvl w:ilvl="0">
      <w:lvlJc w:val="left"/>
      <w:lvlText w:val="%1"/>
      <w:numFmt w:val="decimal"/>
      <w:start w:val="10"/>
    </w:lvl>
    <w:lvl w:ilvl="1">
      <w:lvlJc w:val="left"/>
      <w:lvlText w:val="(%2)"/>
      <w:numFmt w:val="lowerLetter"/>
      <w:start w:val="2"/>
    </w:lvl>
  </w:abstractNum>
  <w:abstractNum w:abstractNumId="258">
    <w:nsid w:val="59B76E28"/>
    <w:multiLevelType w:val="hybridMultilevel"/>
    <w:lvl w:ilvl="0">
      <w:lvlJc w:val="left"/>
      <w:lvlText w:val="%1"/>
      <w:numFmt w:val="decimal"/>
      <w:start w:val="1"/>
    </w:lvl>
    <w:lvl w:ilvl="1">
      <w:lvlJc w:val="left"/>
      <w:lvlText w:val="(%2)"/>
      <w:numFmt w:val="lowerLetter"/>
      <w:start w:val="5"/>
    </w:lvl>
  </w:abstractNum>
  <w:abstractNum w:abstractNumId="259">
    <w:nsid w:val="4252C2DA"/>
    <w:multiLevelType w:val="hybridMultilevel"/>
    <w:lvl w:ilvl="0">
      <w:lvlJc w:val="left"/>
      <w:lvlText w:val="%1."/>
      <w:numFmt w:val="decimal"/>
      <w:start w:val="13"/>
    </w:lvl>
    <w:lvl w:ilvl="1">
      <w:lvlJc w:val="left"/>
      <w:lvlText w:val="%2"/>
      <w:numFmt w:val="lowerLetter"/>
      <w:start w:val="1"/>
    </w:lvl>
  </w:abstractNum>
  <w:abstractNum w:abstractNumId="260">
    <w:nsid w:val="6A92EF4C"/>
    <w:multiLevelType w:val="hybridMultilevel"/>
    <w:lvl w:ilvl="0">
      <w:lvlJc w:val="left"/>
      <w:lvlText w:val="%1."/>
      <w:numFmt w:val="decimal"/>
      <w:start w:val="18"/>
    </w:lvl>
    <w:lvl w:ilvl="1">
      <w:lvlJc w:val="left"/>
      <w:lvlText w:val="(%2)"/>
      <w:numFmt w:val="lowerLetter"/>
      <w:start w:val="1"/>
    </w:lvl>
  </w:abstractNum>
  <w:abstractNum w:abstractNumId="261">
    <w:nsid w:val="41ED20D7"/>
    <w:multiLevelType w:val="hybridMultilevel"/>
    <w:lvl w:ilvl="0">
      <w:lvlJc w:val="left"/>
      <w:lvlText w:val="%1."/>
      <w:numFmt w:val="decimal"/>
      <w:start w:val="21"/>
    </w:lvl>
  </w:abstractNum>
  <w:abstractNum w:abstractNumId="262">
    <w:nsid w:val="E6B3F6A"/>
    <w:multiLevelType w:val="hybridMultilevel"/>
    <w:lvl w:ilvl="0">
      <w:lvlJc w:val="left"/>
      <w:lvlText w:val="%1."/>
      <w:numFmt w:val="decimal"/>
      <w:start w:val="1"/>
    </w:lvl>
  </w:abstractNum>
  <w:abstractNum w:abstractNumId="263">
    <w:nsid w:val="3EB21819"/>
    <w:multiLevelType w:val="hybridMultilevel"/>
    <w:lvl w:ilvl="0">
      <w:lvlJc w:val="left"/>
      <w:lvlText w:val="%1."/>
      <w:numFmt w:val="decimal"/>
      <w:start w:val="4"/>
    </w:lvl>
    <w:lvl w:ilvl="1">
      <w:lvlJc w:val="left"/>
      <w:lvlText w:val="(%2)"/>
      <w:numFmt w:val="lowerLetter"/>
      <w:start w:val="1"/>
    </w:lvl>
  </w:abstractNum>
  <w:abstractNum w:abstractNumId="264">
    <w:nsid w:val="41531DE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5">
    <w:nsid w:val="6353CD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6">
    <w:nsid w:val="683CAAD3"/>
    <w:multiLevelType w:val="hybridMultilevel"/>
    <w:lvl w:ilvl="0">
      <w:lvlJc w:val="left"/>
      <w:lvlText w:val="(%1)"/>
      <w:numFmt w:val="lowerRoman"/>
      <w:start w:val="4"/>
    </w:lvl>
  </w:abstractNum>
  <w:abstractNum w:abstractNumId="267">
    <w:nsid w:val="313C7C99"/>
    <w:multiLevelType w:val="hybridMultilevel"/>
    <w:lvl w:ilvl="0">
      <w:lvlJc w:val="left"/>
      <w:lvlText w:val="(%1)"/>
      <w:numFmt w:val="lowerLetter"/>
      <w:start w:val="2"/>
    </w:lvl>
  </w:abstractNum>
  <w:abstractNum w:abstractNumId="268">
    <w:nsid w:val="519EB94C"/>
    <w:multiLevelType w:val="hybridMultilevel"/>
    <w:lvl w:ilvl="0">
      <w:lvlJc w:val="left"/>
      <w:lvlText w:val="%1."/>
      <w:numFmt w:val="decimal"/>
      <w:start w:val="10"/>
    </w:lvl>
    <w:lvl w:ilvl="1">
      <w:lvlJc w:val="left"/>
      <w:lvlText w:val="(%2)"/>
      <w:numFmt w:val="lowerLetter"/>
      <w:start w:val="1"/>
    </w:lvl>
  </w:abstractNum>
  <w:abstractNum w:abstractNumId="269">
    <w:nsid w:val="39DF2579"/>
    <w:multiLevelType w:val="hybridMultilevel"/>
    <w:lvl w:ilvl="0">
      <w:lvlJc w:val="left"/>
      <w:lvlText w:val="%1."/>
      <w:numFmt w:val="decimal"/>
      <w:start w:val="12"/>
    </w:lvl>
    <w:lvl w:ilvl="1">
      <w:lvlJc w:val="left"/>
      <w:lvlText w:val="(%2)"/>
      <w:numFmt w:val="lowerLetter"/>
      <w:start w:val="1"/>
    </w:lvl>
  </w:abstractNum>
  <w:abstractNum w:abstractNumId="270">
    <w:nsid w:val="126E008B"/>
    <w:multiLevelType w:val="hybridMultilevel"/>
    <w:lvl w:ilvl="0">
      <w:lvlJc w:val="left"/>
      <w:lvlText w:val="%1"/>
      <w:numFmt w:val="decimal"/>
      <w:start w:val="10"/>
    </w:lvl>
    <w:lvl w:ilvl="1">
      <w:lvlJc w:val="left"/>
      <w:lvlText w:val="(%2)"/>
      <w:numFmt w:val="lowerLetter"/>
      <w:start w:val="2"/>
    </w:lvl>
  </w:abstractNum>
  <w:abstractNum w:abstractNumId="271">
    <w:nsid w:val="34DFBC00"/>
    <w:multiLevelType w:val="hybridMultilevel"/>
    <w:lvl w:ilvl="0">
      <w:lvlJc w:val="left"/>
      <w:lvlText w:val="%1"/>
      <w:numFmt w:val="decimal"/>
      <w:start w:val="1"/>
    </w:lvl>
    <w:lvl w:ilvl="1">
      <w:lvlJc w:val="left"/>
      <w:lvlText w:val="(%2)"/>
      <w:numFmt w:val="lowerLetter"/>
      <w:start w:val="5"/>
    </w:lvl>
  </w:abstractNum>
  <w:abstractNum w:abstractNumId="272">
    <w:nsid w:val="1F9EC322"/>
    <w:multiLevelType w:val="hybridMultilevel"/>
    <w:lvl w:ilvl="0">
      <w:lvlJc w:val="left"/>
      <w:lvlText w:val="%1."/>
      <w:numFmt w:val="decimal"/>
      <w:start w:val="13"/>
    </w:lvl>
    <w:lvl w:ilvl="1">
      <w:lvlJc w:val="left"/>
      <w:lvlText w:val="%2"/>
      <w:numFmt w:val="lowerLetter"/>
      <w:start w:val="1"/>
    </w:lvl>
  </w:abstractNum>
  <w:abstractNum w:abstractNumId="273">
    <w:nsid w:val="3410ED56"/>
    <w:multiLevelType w:val="hybridMultilevel"/>
    <w:lvl w:ilvl="0">
      <w:lvlJc w:val="left"/>
      <w:lvlText w:val="%1."/>
      <w:numFmt w:val="decimal"/>
      <w:start w:val="18"/>
    </w:lvl>
    <w:lvl w:ilvl="1">
      <w:lvlJc w:val="left"/>
      <w:lvlText w:val="(%2)"/>
      <w:numFmt w:val="lowerLetter"/>
      <w:start w:val="1"/>
    </w:lvl>
  </w:abstractNum>
  <w:abstractNum w:abstractNumId="274">
    <w:nsid w:val="23C049A"/>
    <w:multiLevelType w:val="hybridMultilevel"/>
    <w:lvl w:ilvl="0">
      <w:lvlJc w:val="left"/>
      <w:lvlText w:val="%1."/>
      <w:numFmt w:val="decimal"/>
      <w:start w:val="21"/>
    </w:lvl>
  </w:abstractNum>
  <w:abstractNum w:abstractNumId="275">
    <w:nsid w:val="5BDA35D4"/>
    <w:multiLevelType w:val="hybridMultilevel"/>
    <w:lvl w:ilvl="0">
      <w:lvlJc w:val="left"/>
      <w:lvlText w:val="%1."/>
      <w:numFmt w:val="decimal"/>
      <w:start w:val="1"/>
    </w:lvl>
  </w:abstractNum>
  <w:abstractNum w:abstractNumId="276">
    <w:nsid w:val="496FB218"/>
    <w:multiLevelType w:val="hybridMultilevel"/>
    <w:lvl w:ilvl="0">
      <w:lvlJc w:val="left"/>
      <w:lvlText w:val="%1."/>
      <w:numFmt w:val="decimal"/>
      <w:start w:val="4"/>
    </w:lvl>
    <w:lvl w:ilvl="1">
      <w:lvlJc w:val="left"/>
      <w:lvlText w:val="(%2)"/>
      <w:numFmt w:val="lowerLetter"/>
      <w:start w:val="1"/>
    </w:lvl>
  </w:abstractNum>
  <w:abstractNum w:abstractNumId="277">
    <w:nsid w:val="680EA5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8">
    <w:nsid w:val="4A9554F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9">
    <w:nsid w:val="392EDBE4"/>
    <w:multiLevelType w:val="hybridMultilevel"/>
    <w:lvl w:ilvl="0">
      <w:lvlJc w:val="left"/>
      <w:lvlText w:val="(%1)"/>
      <w:numFmt w:val="lowerRoman"/>
      <w:start w:val="4"/>
    </w:lvl>
  </w:abstractNum>
  <w:abstractNum w:abstractNumId="280">
    <w:nsid w:val="3D1A2DD9"/>
    <w:multiLevelType w:val="hybridMultilevel"/>
    <w:lvl w:ilvl="0">
      <w:lvlJc w:val="left"/>
      <w:lvlText w:val="(%1)"/>
      <w:numFmt w:val="lowerLetter"/>
      <w:start w:val="2"/>
    </w:lvl>
  </w:abstractNum>
  <w:abstractNum w:abstractNumId="281">
    <w:nsid w:val="7F618FCD"/>
    <w:multiLevelType w:val="hybridMultilevel"/>
    <w:lvl w:ilvl="0">
      <w:lvlJc w:val="left"/>
      <w:lvlText w:val="%1."/>
      <w:numFmt w:val="decimal"/>
      <w:start w:val="10"/>
    </w:lvl>
    <w:lvl w:ilvl="1">
      <w:lvlJc w:val="left"/>
      <w:lvlText w:val="(%2)"/>
      <w:numFmt w:val="lowerLetter"/>
      <w:start w:val="1"/>
    </w:lvl>
  </w:abstractNum>
  <w:abstractNum w:abstractNumId="282">
    <w:nsid w:val="7843E45"/>
    <w:multiLevelType w:val="hybridMultilevel"/>
    <w:lvl w:ilvl="0">
      <w:lvlJc w:val="left"/>
      <w:lvlText w:val="%1."/>
      <w:numFmt w:val="decimal"/>
      <w:start w:val="12"/>
    </w:lvl>
    <w:lvl w:ilvl="1">
      <w:lvlJc w:val="left"/>
      <w:lvlText w:val="(%2)"/>
      <w:numFmt w:val="lowerLetter"/>
      <w:start w:val="1"/>
    </w:lvl>
  </w:abstractNum>
  <w:abstractNum w:abstractNumId="283">
    <w:nsid w:val="9815DA3"/>
    <w:multiLevelType w:val="hybridMultilevel"/>
    <w:lvl w:ilvl="0">
      <w:lvlJc w:val="left"/>
      <w:lvlText w:val="%1"/>
      <w:numFmt w:val="decimal"/>
      <w:start w:val="10"/>
    </w:lvl>
    <w:lvl w:ilvl="1">
      <w:lvlJc w:val="left"/>
      <w:lvlText w:val="(%2)"/>
      <w:numFmt w:val="lowerLetter"/>
      <w:start w:val="2"/>
    </w:lvl>
  </w:abstractNum>
  <w:abstractNum w:abstractNumId="284">
    <w:nsid w:val="5204A191"/>
    <w:multiLevelType w:val="hybridMultilevel"/>
    <w:lvl w:ilvl="0">
      <w:lvlJc w:val="left"/>
      <w:lvlText w:val="%1"/>
      <w:numFmt w:val="decimal"/>
      <w:start w:val="1"/>
    </w:lvl>
    <w:lvl w:ilvl="1">
      <w:lvlJc w:val="left"/>
      <w:lvlText w:val="(%2)"/>
      <w:numFmt w:val="lowerLetter"/>
      <w:start w:val="5"/>
    </w:lvl>
  </w:abstractNum>
  <w:abstractNum w:abstractNumId="285">
    <w:nsid w:val="4C73A9C6"/>
    <w:multiLevelType w:val="hybridMultilevel"/>
    <w:lvl w:ilvl="0">
      <w:lvlJc w:val="left"/>
      <w:lvlText w:val="%1."/>
      <w:numFmt w:val="decimal"/>
      <w:start w:val="13"/>
    </w:lvl>
    <w:lvl w:ilvl="1">
      <w:lvlJc w:val="left"/>
      <w:lvlText w:val="%2"/>
      <w:numFmt w:val="lowerLetter"/>
      <w:start w:val="1"/>
    </w:lvl>
  </w:abstractNum>
  <w:abstractNum w:abstractNumId="286">
    <w:nsid w:val="1C7E3C01"/>
    <w:multiLevelType w:val="hybridMultilevel"/>
    <w:lvl w:ilvl="0">
      <w:lvlJc w:val="left"/>
      <w:lvlText w:val="%1."/>
      <w:numFmt w:val="decimal"/>
      <w:start w:val="18"/>
    </w:lvl>
    <w:lvl w:ilvl="1">
      <w:lvlJc w:val="left"/>
      <w:lvlText w:val="(%2)"/>
      <w:numFmt w:val="lowerLetter"/>
      <w:start w:val="1"/>
    </w:lvl>
  </w:abstractNum>
  <w:abstractNum w:abstractNumId="287">
    <w:nsid w:val="1C2201FF"/>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71" Type="http://schemas.openxmlformats.org/officeDocument/2006/relationships/image" Target="media/image525.png"/><Relationship Id="rId572" Type="http://schemas.openxmlformats.org/officeDocument/2006/relationships/image" Target="media/image526.png"/><Relationship Id="rId573" Type="http://schemas.openxmlformats.org/officeDocument/2006/relationships/image" Target="media/image527.png"/><Relationship Id="rId574" Type="http://schemas.openxmlformats.org/officeDocument/2006/relationships/image" Target="media/image528.png"/><Relationship Id="rId575" Type="http://schemas.openxmlformats.org/officeDocument/2006/relationships/image" Target="media/image529.png"/><Relationship Id="rId576" Type="http://schemas.openxmlformats.org/officeDocument/2006/relationships/image" Target="media/image530.png"/><Relationship Id="rId577" Type="http://schemas.openxmlformats.org/officeDocument/2006/relationships/image" Target="media/image531.png"/><Relationship Id="rId578" Type="http://schemas.openxmlformats.org/officeDocument/2006/relationships/image" Target="media/image532.png"/><Relationship Id="rId579" Type="http://schemas.openxmlformats.org/officeDocument/2006/relationships/image" Target="media/image533.png"/><Relationship Id="rId580" Type="http://schemas.openxmlformats.org/officeDocument/2006/relationships/image" Target="media/image534.png"/><Relationship Id="rId581" Type="http://schemas.openxmlformats.org/officeDocument/2006/relationships/image" Target="media/image535.png"/><Relationship Id="rId582" Type="http://schemas.openxmlformats.org/officeDocument/2006/relationships/image" Target="media/image536.png"/><Relationship Id="rId583" Type="http://schemas.openxmlformats.org/officeDocument/2006/relationships/image" Target="media/image537.png"/><Relationship Id="rId584" Type="http://schemas.openxmlformats.org/officeDocument/2006/relationships/image" Target="media/image538.png"/><Relationship Id="rId585" Type="http://schemas.openxmlformats.org/officeDocument/2006/relationships/image" Target="media/image539.png"/><Relationship Id="rId586" Type="http://schemas.openxmlformats.org/officeDocument/2006/relationships/image" Target="media/image540.png"/><Relationship Id="rId587" Type="http://schemas.openxmlformats.org/officeDocument/2006/relationships/image" Target="media/image541.png"/><Relationship Id="rId588" Type="http://schemas.openxmlformats.org/officeDocument/2006/relationships/image" Target="media/image542.png"/><Relationship Id="rId589" Type="http://schemas.openxmlformats.org/officeDocument/2006/relationships/image" Target="media/image543.png"/><Relationship Id="rId590" Type="http://schemas.openxmlformats.org/officeDocument/2006/relationships/image" Target="media/image544.png"/><Relationship Id="rId591" Type="http://schemas.openxmlformats.org/officeDocument/2006/relationships/image" Target="media/image545.png"/><Relationship Id="rId592" Type="http://schemas.openxmlformats.org/officeDocument/2006/relationships/image" Target="media/image546.png"/><Relationship Id="rId593" Type="http://schemas.openxmlformats.org/officeDocument/2006/relationships/image" Target="media/image547.png"/><Relationship Id="rId594" Type="http://schemas.openxmlformats.org/officeDocument/2006/relationships/image" Target="media/image548.png"/><Relationship Id="rId595" Type="http://schemas.openxmlformats.org/officeDocument/2006/relationships/image" Target="media/image549.png"/><Relationship Id="rId596" Type="http://schemas.openxmlformats.org/officeDocument/2006/relationships/image" Target="media/image550.png"/><Relationship Id="rId597" Type="http://schemas.openxmlformats.org/officeDocument/2006/relationships/image" Target="media/image551.png"/><Relationship Id="rId598" Type="http://schemas.openxmlformats.org/officeDocument/2006/relationships/image" Target="media/image552.png"/><Relationship Id="rId599" Type="http://schemas.openxmlformats.org/officeDocument/2006/relationships/image" Target="media/image553.png"/><Relationship Id="rId600" Type="http://schemas.openxmlformats.org/officeDocument/2006/relationships/image" Target="media/image554.png"/><Relationship Id="rId601" Type="http://schemas.openxmlformats.org/officeDocument/2006/relationships/image" Target="media/image555.png"/><Relationship Id="rId602" Type="http://schemas.openxmlformats.org/officeDocument/2006/relationships/image" Target="media/image556.png"/><Relationship Id="rId603" Type="http://schemas.openxmlformats.org/officeDocument/2006/relationships/image" Target="media/image557.png"/><Relationship Id="rId604" Type="http://schemas.openxmlformats.org/officeDocument/2006/relationships/image" Target="media/image558.png"/><Relationship Id="rId605" Type="http://schemas.openxmlformats.org/officeDocument/2006/relationships/image" Target="media/image559.png"/><Relationship Id="rId606" Type="http://schemas.openxmlformats.org/officeDocument/2006/relationships/image" Target="media/image560.png"/><Relationship Id="rId607" Type="http://schemas.openxmlformats.org/officeDocument/2006/relationships/image" Target="media/image561.png"/><Relationship Id="rId608" Type="http://schemas.openxmlformats.org/officeDocument/2006/relationships/image" Target="media/image562.png"/><Relationship Id="rId609" Type="http://schemas.openxmlformats.org/officeDocument/2006/relationships/image" Target="media/image563.png"/><Relationship Id="rId610" Type="http://schemas.openxmlformats.org/officeDocument/2006/relationships/image" Target="media/image564.png"/><Relationship Id="rId611" Type="http://schemas.openxmlformats.org/officeDocument/2006/relationships/image" Target="media/image565.png"/><Relationship Id="rId612" Type="http://schemas.openxmlformats.org/officeDocument/2006/relationships/image" Target="media/image566.png"/><Relationship Id="rId613" Type="http://schemas.openxmlformats.org/officeDocument/2006/relationships/image" Target="media/image567.png"/><Relationship Id="rId614" Type="http://schemas.openxmlformats.org/officeDocument/2006/relationships/image" Target="media/image568.png"/><Relationship Id="rId615" Type="http://schemas.openxmlformats.org/officeDocument/2006/relationships/image" Target="media/image569.png"/><Relationship Id="rId616" Type="http://schemas.openxmlformats.org/officeDocument/2006/relationships/image" Target="media/image570.png"/><Relationship Id="rId617" Type="http://schemas.openxmlformats.org/officeDocument/2006/relationships/image" Target="media/image571.png"/><Relationship Id="rId618" Type="http://schemas.openxmlformats.org/officeDocument/2006/relationships/image" Target="media/image572.png"/><Relationship Id="rId619" Type="http://schemas.openxmlformats.org/officeDocument/2006/relationships/image" Target="media/image573.png"/><Relationship Id="rId620" Type="http://schemas.openxmlformats.org/officeDocument/2006/relationships/image" Target="media/image574.png"/><Relationship Id="rId621" Type="http://schemas.openxmlformats.org/officeDocument/2006/relationships/image" Target="media/image575.png"/><Relationship Id="rId622" Type="http://schemas.openxmlformats.org/officeDocument/2006/relationships/image" Target="media/image576.png"/><Relationship Id="rId623" Type="http://schemas.openxmlformats.org/officeDocument/2006/relationships/image" Target="media/image577.png"/><Relationship Id="rId624" Type="http://schemas.openxmlformats.org/officeDocument/2006/relationships/image" Target="media/image578.png"/><Relationship Id="rId625" Type="http://schemas.openxmlformats.org/officeDocument/2006/relationships/image" Target="media/image579.png"/><Relationship Id="rId626" Type="http://schemas.openxmlformats.org/officeDocument/2006/relationships/image" Target="media/image580.png"/><Relationship Id="rId627" Type="http://schemas.openxmlformats.org/officeDocument/2006/relationships/image" Target="media/image581.png"/><Relationship Id="rId628" Type="http://schemas.openxmlformats.org/officeDocument/2006/relationships/image" Target="media/image582.png"/><Relationship Id="rId629" Type="http://schemas.openxmlformats.org/officeDocument/2006/relationships/image" Target="media/image583.png"/><Relationship Id="rId630" Type="http://schemas.openxmlformats.org/officeDocument/2006/relationships/image" Target="media/image584.png"/><Relationship Id="rId631" Type="http://schemas.openxmlformats.org/officeDocument/2006/relationships/image" Target="media/image585.png"/><Relationship Id="rId632" Type="http://schemas.openxmlformats.org/officeDocument/2006/relationships/image" Target="media/image586.png"/><Relationship Id="rId633" Type="http://schemas.openxmlformats.org/officeDocument/2006/relationships/image" Target="media/image587.png"/><Relationship Id="rId634" Type="http://schemas.openxmlformats.org/officeDocument/2006/relationships/image" Target="media/image588.png"/><Relationship Id="rId635" Type="http://schemas.openxmlformats.org/officeDocument/2006/relationships/image" Target="media/image589.png"/><Relationship Id="rId636" Type="http://schemas.openxmlformats.org/officeDocument/2006/relationships/image" Target="media/image590.png"/><Relationship Id="rId637" Type="http://schemas.openxmlformats.org/officeDocument/2006/relationships/image" Target="media/image591.png"/><Relationship Id="rId638" Type="http://schemas.openxmlformats.org/officeDocument/2006/relationships/image" Target="media/image592.png"/><Relationship Id="rId639" Type="http://schemas.openxmlformats.org/officeDocument/2006/relationships/image" Target="media/image593.png"/><Relationship Id="rId640" Type="http://schemas.openxmlformats.org/officeDocument/2006/relationships/image" Target="media/image594.png"/><Relationship Id="rId641" Type="http://schemas.openxmlformats.org/officeDocument/2006/relationships/image" Target="media/image595.png"/><Relationship Id="rId642" Type="http://schemas.openxmlformats.org/officeDocument/2006/relationships/image" Target="media/image596.png"/><Relationship Id="rId643" Type="http://schemas.openxmlformats.org/officeDocument/2006/relationships/image" Target="media/image597.png"/><Relationship Id="rId644" Type="http://schemas.openxmlformats.org/officeDocument/2006/relationships/image" Target="media/image598.png"/><Relationship Id="rId645" Type="http://schemas.openxmlformats.org/officeDocument/2006/relationships/image" Target="media/image599.png"/><Relationship Id="rId646" Type="http://schemas.openxmlformats.org/officeDocument/2006/relationships/image" Target="media/image600.png"/><Relationship Id="rId647" Type="http://schemas.openxmlformats.org/officeDocument/2006/relationships/image" Target="media/image601.png"/><Relationship Id="rId648" Type="http://schemas.openxmlformats.org/officeDocument/2006/relationships/image" Target="media/image602.png"/><Relationship Id="rId649" Type="http://schemas.openxmlformats.org/officeDocument/2006/relationships/image" Target="media/image603.png"/><Relationship Id="rId650" Type="http://schemas.openxmlformats.org/officeDocument/2006/relationships/image" Target="media/image604.png"/><Relationship Id="rId651" Type="http://schemas.openxmlformats.org/officeDocument/2006/relationships/image" Target="media/image605.png"/><Relationship Id="rId652" Type="http://schemas.openxmlformats.org/officeDocument/2006/relationships/image" Target="media/image606.png"/><Relationship Id="rId653" Type="http://schemas.openxmlformats.org/officeDocument/2006/relationships/image" Target="media/image607.png"/><Relationship Id="rId654" Type="http://schemas.openxmlformats.org/officeDocument/2006/relationships/image" Target="media/image608.png"/><Relationship Id="rId655" Type="http://schemas.openxmlformats.org/officeDocument/2006/relationships/image" Target="media/image609.png"/><Relationship Id="rId656" Type="http://schemas.openxmlformats.org/officeDocument/2006/relationships/image" Target="media/image610.png"/><Relationship Id="rId657" Type="http://schemas.openxmlformats.org/officeDocument/2006/relationships/image" Target="media/image611.png"/><Relationship Id="rId658" Type="http://schemas.openxmlformats.org/officeDocument/2006/relationships/image" Target="media/image612.png"/><Relationship Id="rId659" Type="http://schemas.openxmlformats.org/officeDocument/2006/relationships/image" Target="media/image613.png"/><Relationship Id="rId660" Type="http://schemas.openxmlformats.org/officeDocument/2006/relationships/image" Target="media/image614.png"/><Relationship Id="rId661" Type="http://schemas.openxmlformats.org/officeDocument/2006/relationships/image" Target="media/image615.png"/><Relationship Id="rId662" Type="http://schemas.openxmlformats.org/officeDocument/2006/relationships/image" Target="media/image616.png"/><Relationship Id="rId663" Type="http://schemas.openxmlformats.org/officeDocument/2006/relationships/image" Target="media/image617.jpeg"/><Relationship Id="rId664" Type="http://schemas.openxmlformats.org/officeDocument/2006/relationships/image" Target="media/image618.jpeg"/><Relationship Id="rId665" Type="http://schemas.openxmlformats.org/officeDocument/2006/relationships/image" Target="media/image619.png"/><Relationship Id="rId666" Type="http://schemas.openxmlformats.org/officeDocument/2006/relationships/image" Target="media/image620.jpeg"/><Relationship Id="rId667" Type="http://schemas.openxmlformats.org/officeDocument/2006/relationships/image" Target="media/image621.png"/><Relationship Id="rId668" Type="http://schemas.openxmlformats.org/officeDocument/2006/relationships/image" Target="media/image622.png"/><Relationship Id="rId669" Type="http://schemas.openxmlformats.org/officeDocument/2006/relationships/image" Target="media/image623.png"/><Relationship Id="rId670" Type="http://schemas.openxmlformats.org/officeDocument/2006/relationships/image" Target="media/image624.png"/><Relationship Id="rId671" Type="http://schemas.openxmlformats.org/officeDocument/2006/relationships/image" Target="media/image625.png"/><Relationship Id="rId672" Type="http://schemas.openxmlformats.org/officeDocument/2006/relationships/image" Target="media/image626.png"/><Relationship Id="rId673" Type="http://schemas.openxmlformats.org/officeDocument/2006/relationships/image" Target="media/image627.png"/><Relationship Id="rId674" Type="http://schemas.openxmlformats.org/officeDocument/2006/relationships/image" Target="media/image628.png"/><Relationship Id="rId675" Type="http://schemas.openxmlformats.org/officeDocument/2006/relationships/image" Target="media/image629.png"/><Relationship Id="rId676" Type="http://schemas.openxmlformats.org/officeDocument/2006/relationships/image" Target="media/image630.png"/><Relationship Id="rId677" Type="http://schemas.openxmlformats.org/officeDocument/2006/relationships/image" Target="media/image631.png"/><Relationship Id="rId678" Type="http://schemas.openxmlformats.org/officeDocument/2006/relationships/image" Target="media/image632.png"/><Relationship Id="rId679" Type="http://schemas.openxmlformats.org/officeDocument/2006/relationships/image" Target="media/image633.png"/><Relationship Id="rId680" Type="http://schemas.openxmlformats.org/officeDocument/2006/relationships/image" Target="media/image634.png"/><Relationship Id="rId681" Type="http://schemas.openxmlformats.org/officeDocument/2006/relationships/image" Target="media/image635.png"/><Relationship Id="rId682" Type="http://schemas.openxmlformats.org/officeDocument/2006/relationships/image" Target="media/image636.png"/><Relationship Id="rId683" Type="http://schemas.openxmlformats.org/officeDocument/2006/relationships/image" Target="media/image637.png"/><Relationship Id="rId684" Type="http://schemas.openxmlformats.org/officeDocument/2006/relationships/image" Target="media/image638.png"/><Relationship Id="rId685" Type="http://schemas.openxmlformats.org/officeDocument/2006/relationships/image" Target="media/image639.png"/><Relationship Id="rId686" Type="http://schemas.openxmlformats.org/officeDocument/2006/relationships/image" Target="media/image640.png"/><Relationship Id="rId687" Type="http://schemas.openxmlformats.org/officeDocument/2006/relationships/image" Target="media/image641.png"/><Relationship Id="rId688" Type="http://schemas.openxmlformats.org/officeDocument/2006/relationships/image" Target="media/image642.png"/><Relationship Id="rId689" Type="http://schemas.openxmlformats.org/officeDocument/2006/relationships/image" Target="media/image643.png"/><Relationship Id="rId690" Type="http://schemas.openxmlformats.org/officeDocument/2006/relationships/image" Target="media/image644.png"/><Relationship Id="rId691" Type="http://schemas.openxmlformats.org/officeDocument/2006/relationships/image" Target="media/image645.png"/><Relationship Id="rId692" Type="http://schemas.openxmlformats.org/officeDocument/2006/relationships/image" Target="media/image646.png"/><Relationship Id="rId693" Type="http://schemas.openxmlformats.org/officeDocument/2006/relationships/image" Target="media/image647.png"/><Relationship Id="rId694" Type="http://schemas.openxmlformats.org/officeDocument/2006/relationships/image" Target="media/image648.png"/><Relationship Id="rId695" Type="http://schemas.openxmlformats.org/officeDocument/2006/relationships/image" Target="media/image649.png"/><Relationship Id="rId696" Type="http://schemas.openxmlformats.org/officeDocument/2006/relationships/image" Target="media/image650.png"/><Relationship Id="rId697" Type="http://schemas.openxmlformats.org/officeDocument/2006/relationships/image" Target="media/image651.png"/><Relationship Id="rId698" Type="http://schemas.openxmlformats.org/officeDocument/2006/relationships/image" Target="media/image652.png"/><Relationship Id="rId699" Type="http://schemas.openxmlformats.org/officeDocument/2006/relationships/image" Target="media/image653.png"/><Relationship Id="rId700" Type="http://schemas.openxmlformats.org/officeDocument/2006/relationships/image" Target="media/image654.png"/><Relationship Id="rId701" Type="http://schemas.openxmlformats.org/officeDocument/2006/relationships/image" Target="media/image655.png"/><Relationship Id="rId702" Type="http://schemas.openxmlformats.org/officeDocument/2006/relationships/image" Target="media/image656.png"/><Relationship Id="rId703" Type="http://schemas.openxmlformats.org/officeDocument/2006/relationships/image" Target="media/image657.png"/><Relationship Id="rId704" Type="http://schemas.openxmlformats.org/officeDocument/2006/relationships/image" Target="media/image658.png"/><Relationship Id="rId705" Type="http://schemas.openxmlformats.org/officeDocument/2006/relationships/image" Target="media/image659.png"/><Relationship Id="rId706" Type="http://schemas.openxmlformats.org/officeDocument/2006/relationships/image" Target="media/image660.png"/><Relationship Id="rId707" Type="http://schemas.openxmlformats.org/officeDocument/2006/relationships/image" Target="media/image661.png"/><Relationship Id="rId708" Type="http://schemas.openxmlformats.org/officeDocument/2006/relationships/image" Target="media/image662.png"/><Relationship Id="rId709" Type="http://schemas.openxmlformats.org/officeDocument/2006/relationships/image" Target="media/image663.png"/><Relationship Id="rId710" Type="http://schemas.openxmlformats.org/officeDocument/2006/relationships/image" Target="media/image664.png"/><Relationship Id="rId711" Type="http://schemas.openxmlformats.org/officeDocument/2006/relationships/image" Target="media/image665.png"/><Relationship Id="rId712" Type="http://schemas.openxmlformats.org/officeDocument/2006/relationships/image" Target="media/image666.png"/><Relationship Id="rId713" Type="http://schemas.openxmlformats.org/officeDocument/2006/relationships/image" Target="media/image667.png"/><Relationship Id="rId714" Type="http://schemas.openxmlformats.org/officeDocument/2006/relationships/image" Target="media/image668.png"/><Relationship Id="rId715" Type="http://schemas.openxmlformats.org/officeDocument/2006/relationships/image" Target="media/image669.png"/><Relationship Id="rId716" Type="http://schemas.openxmlformats.org/officeDocument/2006/relationships/image" Target="media/image670.png"/><Relationship Id="rId717" Type="http://schemas.openxmlformats.org/officeDocument/2006/relationships/image" Target="media/image671.png"/><Relationship Id="rId718" Type="http://schemas.openxmlformats.org/officeDocument/2006/relationships/image" Target="media/image672.png"/><Relationship Id="rId719" Type="http://schemas.openxmlformats.org/officeDocument/2006/relationships/image" Target="media/image673.png"/><Relationship Id="rId720" Type="http://schemas.openxmlformats.org/officeDocument/2006/relationships/image" Target="media/image674.png"/><Relationship Id="rId721" Type="http://schemas.openxmlformats.org/officeDocument/2006/relationships/image" Target="media/image675.png"/><Relationship Id="rId722" Type="http://schemas.openxmlformats.org/officeDocument/2006/relationships/image" Target="media/image676.png"/><Relationship Id="rId530" Type="http://schemas.openxmlformats.org/officeDocument/2006/relationships/hyperlink" Target="https://www.sec.gov/Archives/edgar/data/1850119/000110465921074278/tm218551d7_ex3-1.htm" TargetMode="External"/><Relationship Id="rId531" Type="http://schemas.openxmlformats.org/officeDocument/2006/relationships/hyperlink" Target="https://www.sec.gov/Archives/edgar/data/1850119/000110465921074278/tm218551d7_ex3-3.htm" TargetMode="External"/><Relationship Id="rId532" Type="http://schemas.openxmlformats.org/officeDocument/2006/relationships/hyperlink" Target="https://www.sec.gov/Archives/edgar/data/1850119/000110465921074278/tm218551d7_ex4-2.htm" TargetMode="External"/><Relationship Id="rId533" Type="http://schemas.openxmlformats.org/officeDocument/2006/relationships/hyperlink" Target="https://www.sec.gov/Archives/edgar/data/1850119/000110465921074278/tm218551d7_ex4-3.htm" TargetMode="External"/><Relationship Id="rId534" Type="http://schemas.openxmlformats.org/officeDocument/2006/relationships/hyperlink" Target="https://www.sec.gov/Archives/edgar/data/1850119/000110465921074278/tm218551d7_ex10-1.htm" TargetMode="External"/><Relationship Id="rId535" Type="http://schemas.openxmlformats.org/officeDocument/2006/relationships/hyperlink" Target="https://www.sec.gov/Archives/edgar/data/1850119/000110465921074278/tm218551d7_ex10-2.htm" TargetMode="External"/><Relationship Id="rId536" Type="http://schemas.openxmlformats.org/officeDocument/2006/relationships/hyperlink" Target="https://www.sec.gov/Archives/edgar/data/1850119/000110465921074278/tm218551d7_ex10-3.htm" TargetMode="External"/><Relationship Id="rId537" Type="http://schemas.openxmlformats.org/officeDocument/2006/relationships/hyperlink" Target="https://www.sec.gov/Archives/edgar/data/1850119/000110465921074278/tm218551d7_ex10-4.htm" TargetMode="External"/><Relationship Id="rId538" Type="http://schemas.openxmlformats.org/officeDocument/2006/relationships/hyperlink" Target="https://www.sec.gov/Archives/edgar/data/1850119/000110465921074278/tm218551d7_ex10-5.htm" TargetMode="External"/><Relationship Id="rId539" Type="http://schemas.openxmlformats.org/officeDocument/2006/relationships/hyperlink" Target="https://www.sec.gov/Archives/edgar/data/1850119/000110465921074278/tm218551d7_ex10-6.htm" TargetMode="External"/><Relationship Id="rId540" Type="http://schemas.openxmlformats.org/officeDocument/2006/relationships/hyperlink" Target="https://www.sec.gov/Archives/edgar/data/1850119/000110465921074278/tm218551d7_ex10-7.htm" TargetMode="External"/><Relationship Id="rId541" Type="http://schemas.openxmlformats.org/officeDocument/2006/relationships/hyperlink" Target="https://www.sec.gov/Archives/edgar/data/1850119/000110465921074278/tm218551d7_ex10-10.htm" TargetMode="External"/><Relationship Id="rId542" Type="http://schemas.openxmlformats.org/officeDocument/2006/relationships/hyperlink" Target="https://www.sec.gov/Archives/edgar/data/1850119/000110465921074278/tm218551d7_ex10-11.htm" TargetMode="External"/><Relationship Id="rId543" Type="http://schemas.openxmlformats.org/officeDocument/2006/relationships/hyperlink" Target="https://www.sec.gov/Archives/edgar/data/1850119/000110465921074278/tm218551d7_ex10-12.htm" TargetMode="External"/><Relationship Id="rId544" Type="http://schemas.openxmlformats.org/officeDocument/2006/relationships/hyperlink" Target="https://www.sec.gov/Archives/edgar/data/1850119/000110465921074278/tm218551d7_ex10-13.htm" TargetMode="External"/><Relationship Id="rId545" Type="http://schemas.openxmlformats.org/officeDocument/2006/relationships/hyperlink" Target="https://www.sec.gov/Archives/edgar/data/1850119/000110465921074278/tm218551d7_ex10-14.htm" TargetMode="External"/><Relationship Id="rId546" Type="http://schemas.openxmlformats.org/officeDocument/2006/relationships/hyperlink" Target="https://www.sec.gov/Archives/edgar/data/1850119/000110465921074278/tm218551d7_ex10-15.htm" TargetMode="External"/><Relationship Id="rId547" Type="http://schemas.openxmlformats.org/officeDocument/2006/relationships/hyperlink" Target="https://www.sec.gov/Archives/edgar/data/1850119/000110465921074278/tm218551d7_ex10-16.htm" TargetMode="External"/><Relationship Id="rId548" Type="http://schemas.openxmlformats.org/officeDocument/2006/relationships/hyperlink" Target="https://www.sec.gov/Archives/edgar/data/1850119/000110465921074278/tm218551d7_ex10-17.htm" TargetMode="External"/><Relationship Id="rId549" Type="http://schemas.openxmlformats.org/officeDocument/2006/relationships/hyperlink" Target="https://www.sec.gov/Archives/edgar/data/1850119/000110465921074278/tm218551d7_ex10-18.htm" TargetMode="External"/><Relationship Id="rId550" Type="http://schemas.openxmlformats.org/officeDocument/2006/relationships/hyperlink" Target="https://www.sec.gov/Archives/edgar/data/1850119/000110465921074278/tm218551d7_ex10-19.htm" TargetMode="External"/><Relationship Id="rId551" Type="http://schemas.openxmlformats.org/officeDocument/2006/relationships/hyperlink" Target="https://www.sec.gov/Archives/edgar/data/1850119/000110465921074278/tm218551d7_ex10-20.htm" TargetMode="External"/><Relationship Id="rId552" Type="http://schemas.openxmlformats.org/officeDocument/2006/relationships/hyperlink" Target="https://www.sec.gov/Archives/edgar/data/1850119/000110465921074278/tm218551d7_ex10-21.htm" TargetMode="External"/><Relationship Id="rId555" Type="http://schemas.openxmlformats.org/officeDocument/2006/relationships/hyperlink" Target="https://www.sec.gov/Archives/edgar/data/1850119/000110465921074278/tm218551d7_ex10-22.htm" TargetMode="External"/><Relationship Id="rId556" Type="http://schemas.openxmlformats.org/officeDocument/2006/relationships/hyperlink" Target="https://www.sec.gov/Archives/edgar/data/1850119/000110465921074278/tm218551d7_ex10-23.htm" TargetMode="External"/><Relationship Id="rId557" Type="http://schemas.openxmlformats.org/officeDocument/2006/relationships/hyperlink" Target="https://www.sec.gov/Archives/edgar/data/1850119/000110465921074278/tm218551d7_ex10-24.htm" TargetMode="External"/><Relationship Id="rId558" Type="http://schemas.openxmlformats.org/officeDocument/2006/relationships/hyperlink" Target="https://www.sec.gov/Archives/edgar/data/1850119/000110465921074278/tm218551d7_ex10-25.htm" TargetMode="External"/><Relationship Id="rId559" Type="http://schemas.openxmlformats.org/officeDocument/2006/relationships/hyperlink" Target="https://www.sec.gov/Archives/edgar/data/1850119/000110465921074278/tm218551d7_ex10-26.htm" TargetMode="External"/><Relationship Id="rId560" Type="http://schemas.openxmlformats.org/officeDocument/2006/relationships/hyperlink" Target="https://www.sec.gov/Archives/edgar/data/1850119/000110465921074278/tm218551d7_ex10-27.htm" TargetMode="External"/><Relationship Id="rId561" Type="http://schemas.openxmlformats.org/officeDocument/2006/relationships/hyperlink" Target="https://www.sec.gov/Archives/edgar/data/1850119/000110465921074278/tm218551d7_ex10-28.htm" TargetMode="External"/><Relationship Id="rId562" Type="http://schemas.openxmlformats.org/officeDocument/2006/relationships/hyperlink" Target="https://www.sec.gov/Archives/edgar/data/1850119/000110465921074278/tm218551d7_ex10-29.htm" TargetMode="External"/><Relationship Id="rId563" Type="http://schemas.openxmlformats.org/officeDocument/2006/relationships/hyperlink" Target="https://www.sec.gov/Archives/edgar/data/1850119/000110465921074278/tm218551d7_ex10-30.htm" TargetMode="External"/><Relationship Id="rId564" Type="http://schemas.openxmlformats.org/officeDocument/2006/relationships/hyperlink" Target="https://www.sec.gov/Archives/edgar/data/1850119/000110465921074278/tm218551d7_ex10-31.htm" TargetMode="External"/><Relationship Id="rId565" Type="http://schemas.openxmlformats.org/officeDocument/2006/relationships/hyperlink" Target="https://www.sec.gov/Archives/edgar/data/1850119/000110465921074278/tm218551d7_ex10-32.htm" TargetMode="External"/><Relationship Id="rId566" Type="http://schemas.openxmlformats.org/officeDocument/2006/relationships/hyperlink" Target="https://www.sec.gov/Archives/edgar/data/1850119/000110465921074278/tm218551d7_ex10-36.htm" TargetMode="External"/><Relationship Id="rId567" Type="http://schemas.openxmlformats.org/officeDocument/2006/relationships/hyperlink" Target="https://www.sec.gov/Archives/edgar/data/1850119/000110465921074278/tm218551d7_ex10-37.htm" TargetMode="External"/><Relationship Id="rId568" Type="http://schemas.openxmlformats.org/officeDocument/2006/relationships/hyperlink" Target="https://www.sec.gov/Archives/edgar/data/1850119/000110465921074278/tm218551d7_ex10-38.htm" TargetMode="External"/><Relationship Id="rId569" Type="http://schemas.openxmlformats.org/officeDocument/2006/relationships/hyperlink" Target="https://www.sec.gov/Archives/edgar/data/1850119/000110465921074278/tm218551d7_ex10-39.htm" TargetMode="External"/><Relationship Id="rId570" Type="http://schemas.openxmlformats.org/officeDocument/2006/relationships/hyperlink" Target="https://www.sec.gov/Archives/edgar/data/1850119/000110465921074278/tm218551d7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2021-06-14T05:16:02Z</dcterms:created>
  <dcterms:modified xsi:type="dcterms:W3CDTF">2021-06-14T05:16:02Z</dcterms:modified>
</cp:coreProperties>
</file>